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7A97B" w14:textId="77777777" w:rsidR="00DE42D5" w:rsidRDefault="00DE42D5" w:rsidP="00DE42D5">
      <w:pPr>
        <w:pStyle w:val="Autoren"/>
      </w:pPr>
      <w:r>
        <w:rPr>
          <w:rFonts w:cs="Arial"/>
          <w:sz w:val="45"/>
          <w:szCs w:val="45"/>
        </w:rPr>
        <w:t>Techno-ökonomische Modellierung der künftigen Rolle leitungsgebundener Infrastruktur für Wasserstoff und CO</w:t>
      </w:r>
      <w:r>
        <w:rPr>
          <w:rFonts w:cs="Arial"/>
          <w:sz w:val="29"/>
          <w:szCs w:val="29"/>
        </w:rPr>
        <w:t>2</w:t>
      </w:r>
      <w:r>
        <w:t xml:space="preserve"> </w:t>
      </w:r>
    </w:p>
    <w:p w14:paraId="13AD8118" w14:textId="77777777" w:rsidR="00DE42D5" w:rsidRPr="00DE42D5" w:rsidRDefault="00DE42D5" w:rsidP="00A156E4">
      <w:pPr>
        <w:pStyle w:val="AutorenOrganisation"/>
      </w:pPr>
      <w:r w:rsidRPr="00DE42D5">
        <w:t>(3) Integrierte Netze der Zukunft</w:t>
      </w:r>
    </w:p>
    <w:p w14:paraId="023E2C0C" w14:textId="77777777" w:rsidR="00DE42D5" w:rsidRPr="00DE42D5" w:rsidRDefault="00DE42D5" w:rsidP="00A156E4">
      <w:pPr>
        <w:pStyle w:val="AutorenOrganisation"/>
      </w:pPr>
    </w:p>
    <w:p w14:paraId="262C6FEC" w14:textId="77777777" w:rsidR="00DE42D5" w:rsidRPr="00DE42D5" w:rsidRDefault="00DE42D5" w:rsidP="00DE42D5">
      <w:pPr>
        <w:pStyle w:val="Autoren"/>
        <w:rPr>
          <w:b w:val="0"/>
          <w:vertAlign w:val="superscript"/>
        </w:rPr>
      </w:pPr>
      <w:r w:rsidRPr="00DE42D5">
        <w:rPr>
          <w:b w:val="0"/>
        </w:rPr>
        <w:t>Tobias HÜBNER</w:t>
      </w:r>
      <w:r w:rsidRPr="00DE42D5">
        <w:rPr>
          <w:b w:val="0"/>
          <w:vertAlign w:val="superscript"/>
        </w:rPr>
        <w:t xml:space="preserve"> (1,2)</w:t>
      </w:r>
      <w:r w:rsidRPr="00DE42D5">
        <w:rPr>
          <w:b w:val="0"/>
        </w:rPr>
        <w:t>, Moritz HÖCHTL</w:t>
      </w:r>
      <w:r w:rsidRPr="00DE42D5">
        <w:rPr>
          <w:rStyle w:val="Funotenzeichen"/>
          <w:b w:val="0"/>
        </w:rPr>
        <w:footnoteReference w:id="1"/>
      </w:r>
      <w:r w:rsidRPr="00DE42D5">
        <w:rPr>
          <w:b w:val="0"/>
          <w:vertAlign w:val="superscript"/>
        </w:rPr>
        <w:t>(1)</w:t>
      </w:r>
      <w:r w:rsidRPr="00DE42D5">
        <w:rPr>
          <w:b w:val="0"/>
        </w:rPr>
        <w:t xml:space="preserve">, Kirstin </w:t>
      </w:r>
      <w:proofErr w:type="gramStart"/>
      <w:r w:rsidRPr="00DE42D5">
        <w:rPr>
          <w:b w:val="0"/>
        </w:rPr>
        <w:t>GANZ</w:t>
      </w:r>
      <w:r w:rsidRPr="00DE42D5">
        <w:rPr>
          <w:b w:val="0"/>
          <w:vertAlign w:val="superscript"/>
        </w:rPr>
        <w:t>(</w:t>
      </w:r>
      <w:proofErr w:type="gramEnd"/>
      <w:r w:rsidRPr="00DE42D5">
        <w:rPr>
          <w:b w:val="0"/>
          <w:vertAlign w:val="superscript"/>
        </w:rPr>
        <w:t>1)</w:t>
      </w:r>
      <w:r w:rsidRPr="00DE42D5">
        <w:rPr>
          <w:b w:val="0"/>
        </w:rPr>
        <w:t>, Timo KERN</w:t>
      </w:r>
      <w:r w:rsidRPr="00DE42D5">
        <w:rPr>
          <w:b w:val="0"/>
          <w:vertAlign w:val="superscript"/>
        </w:rPr>
        <w:t>(1)*,</w:t>
      </w:r>
      <w:r w:rsidRPr="00DE42D5">
        <w:rPr>
          <w:b w:val="0"/>
        </w:rPr>
        <w:t xml:space="preserve"> Serafin VON ROON</w:t>
      </w:r>
      <w:r w:rsidRPr="00DE42D5">
        <w:rPr>
          <w:b w:val="0"/>
          <w:vertAlign w:val="superscript"/>
        </w:rPr>
        <w:t>(1)</w:t>
      </w:r>
    </w:p>
    <w:p w14:paraId="11CE86FB" w14:textId="77777777" w:rsidR="00DE42D5" w:rsidRDefault="00DE42D5" w:rsidP="00DE42D5">
      <w:pPr>
        <w:pStyle w:val="Institution"/>
        <w:spacing w:after="120"/>
        <w:rPr>
          <w:sz w:val="22"/>
        </w:rPr>
      </w:pPr>
      <w:r>
        <w:rPr>
          <w:sz w:val="22"/>
          <w:vertAlign w:val="superscript"/>
        </w:rPr>
        <w:t>(1)</w:t>
      </w:r>
      <w:r>
        <w:rPr>
          <w:sz w:val="22"/>
        </w:rPr>
        <w:t xml:space="preserve"> Forschungsgesellschaft für Energiewirtschaft mbH, Am Blütenanger 71, 80995 München, 089/158 121 36, </w:t>
      </w:r>
      <w:r w:rsidRPr="005562D7">
        <w:rPr>
          <w:sz w:val="22"/>
        </w:rPr>
        <w:t>thuebner@ffe.de</w:t>
      </w:r>
      <w:r>
        <w:rPr>
          <w:sz w:val="22"/>
        </w:rPr>
        <w:t>, www.ffegmbh.de</w:t>
      </w:r>
    </w:p>
    <w:p w14:paraId="3B1D1849" w14:textId="77777777" w:rsidR="00DE42D5" w:rsidRPr="00DB248A" w:rsidRDefault="00DE42D5" w:rsidP="00DE42D5">
      <w:pPr>
        <w:pStyle w:val="Institution"/>
        <w:spacing w:after="120"/>
        <w:rPr>
          <w:sz w:val="22"/>
        </w:rPr>
      </w:pPr>
      <w:r w:rsidRPr="00DB248A">
        <w:rPr>
          <w:sz w:val="22"/>
          <w:vertAlign w:val="superscript"/>
        </w:rPr>
        <w:t>(2)</w:t>
      </w:r>
      <w:r>
        <w:rPr>
          <w:sz w:val="22"/>
        </w:rPr>
        <w:t xml:space="preserve"> Technische Universität München, </w:t>
      </w:r>
      <w:proofErr w:type="spellStart"/>
      <w:r w:rsidRPr="00DB248A">
        <w:rPr>
          <w:sz w:val="22"/>
        </w:rPr>
        <w:t>Arcisstraße</w:t>
      </w:r>
      <w:proofErr w:type="spellEnd"/>
      <w:r w:rsidRPr="00DB248A">
        <w:rPr>
          <w:sz w:val="22"/>
        </w:rPr>
        <w:t xml:space="preserve"> 21</w:t>
      </w:r>
      <w:r>
        <w:rPr>
          <w:sz w:val="22"/>
        </w:rPr>
        <w:t>,</w:t>
      </w:r>
      <w:r w:rsidRPr="00DB248A">
        <w:rPr>
          <w:sz w:val="22"/>
        </w:rPr>
        <w:t xml:space="preserve"> 80333 München</w:t>
      </w:r>
    </w:p>
    <w:p w14:paraId="66397ED6" w14:textId="77777777" w:rsidR="00DE42D5" w:rsidRDefault="00DE42D5" w:rsidP="00A156E4">
      <w:pPr>
        <w:pStyle w:val="AutorenOrganisation"/>
      </w:pPr>
    </w:p>
    <w:p w14:paraId="46C3BB2C" w14:textId="77777777" w:rsidR="00A07737" w:rsidRPr="005E4D4F" w:rsidRDefault="00A07737" w:rsidP="00FB69AE">
      <w:pPr>
        <w:rPr>
          <w:lang w:val="de-AT"/>
        </w:rPr>
      </w:pPr>
    </w:p>
    <w:p w14:paraId="5DF0623F" w14:textId="77777777" w:rsidR="005E4D4F" w:rsidRPr="005E4D4F" w:rsidRDefault="005E4D4F" w:rsidP="005E4D4F">
      <w:pPr>
        <w:pStyle w:val="Ueberschrift"/>
      </w:pPr>
      <w:r w:rsidRPr="005E4D4F">
        <w:t>Motivation und zentrale Fragestellung</w:t>
      </w:r>
    </w:p>
    <w:p w14:paraId="69F5EDDD" w14:textId="77777777" w:rsidR="00170348" w:rsidRDefault="00DE42D5" w:rsidP="00227125">
      <w:r w:rsidRPr="00DE42D5">
        <w:t xml:space="preserve">Im Zuge des in den nächsten Jahrzehnten </w:t>
      </w:r>
      <w:proofErr w:type="gramStart"/>
      <w:r w:rsidRPr="00DE42D5">
        <w:t>zu erwartenden Einsatzes</w:t>
      </w:r>
      <w:proofErr w:type="gramEnd"/>
      <w:r w:rsidRPr="00DE42D5">
        <w:t xml:space="preserve"> synthetischer Gase stellt sich die Frage nach der geeigneten Transportinfrastruktur. </w:t>
      </w:r>
      <w:r w:rsidR="00170348" w:rsidRPr="00DE42D5">
        <w:t xml:space="preserve">Ziel ist es, eine Methodik zu entwickeln, mit der ein möglichst kosteneffizienter Ausbau der heute </w:t>
      </w:r>
      <w:proofErr w:type="gramStart"/>
      <w:r w:rsidR="00170348" w:rsidRPr="00DE42D5">
        <w:t>meist erdgasbasierten</w:t>
      </w:r>
      <w:proofErr w:type="gramEnd"/>
      <w:r w:rsidR="00170348" w:rsidRPr="00DE42D5">
        <w:t xml:space="preserve"> Gasinfra</w:t>
      </w:r>
      <w:r w:rsidR="00170348">
        <w:t>struktur für Wasserstoff und CO</w:t>
      </w:r>
      <w:r w:rsidR="00170348">
        <w:rPr>
          <w:vertAlign w:val="subscript"/>
        </w:rPr>
        <w:t>2</w:t>
      </w:r>
      <w:r w:rsidR="00170348">
        <w:t xml:space="preserve"> abgeleitet werden kann. </w:t>
      </w:r>
      <w:r w:rsidR="00F81A87">
        <w:t>Dafür wird den folgenden Forschungsfragen nachgegangen.</w:t>
      </w:r>
    </w:p>
    <w:p w14:paraId="1AB33578" w14:textId="77777777" w:rsidR="00170348" w:rsidRDefault="00170348" w:rsidP="000270CD">
      <w:pPr>
        <w:pStyle w:val="Listenabsatz"/>
        <w:numPr>
          <w:ilvl w:val="0"/>
          <w:numId w:val="6"/>
        </w:numPr>
      </w:pPr>
      <w:r>
        <w:t xml:space="preserve">Ist die Errichtung </w:t>
      </w:r>
      <w:proofErr w:type="gramStart"/>
      <w:r>
        <w:t>von Elektrolyseure</w:t>
      </w:r>
      <w:proofErr w:type="gramEnd"/>
      <w:r>
        <w:t xml:space="preserve"> und Methanisierungsanlagen am Standort der Stromerzeugung oder des Verbrauchs kosteneffizient?</w:t>
      </w:r>
    </w:p>
    <w:p w14:paraId="6816EB92" w14:textId="77777777" w:rsidR="00170348" w:rsidRDefault="00170348" w:rsidP="000270CD">
      <w:pPr>
        <w:pStyle w:val="Listenabsatz"/>
        <w:numPr>
          <w:ilvl w:val="0"/>
          <w:numId w:val="6"/>
        </w:numPr>
      </w:pPr>
      <w:r>
        <w:t>I</w:t>
      </w:r>
      <w:r w:rsidR="00F81A87">
        <w:t>n welchen Regionen und in welchem</w:t>
      </w:r>
      <w:r>
        <w:t xml:space="preserve"> Umfang sind Wasserstoff- und CO</w:t>
      </w:r>
      <w:r w:rsidRPr="00170348">
        <w:rPr>
          <w:vertAlign w:val="subscript"/>
        </w:rPr>
        <w:t>2</w:t>
      </w:r>
      <w:r>
        <w:t>-Leitungen neu- und umzubauen?</w:t>
      </w:r>
    </w:p>
    <w:p w14:paraId="52583BF8" w14:textId="77777777" w:rsidR="00170348" w:rsidRPr="005E4D4F" w:rsidRDefault="00170348" w:rsidP="000270CD">
      <w:pPr>
        <w:pStyle w:val="Listenabsatz"/>
        <w:numPr>
          <w:ilvl w:val="0"/>
          <w:numId w:val="6"/>
        </w:numPr>
      </w:pPr>
      <w:r>
        <w:t>Welche Kosten verursacht der Aufbau dieser Leitungsinfrastruktur?</w:t>
      </w:r>
    </w:p>
    <w:p w14:paraId="1E018392" w14:textId="77777777" w:rsidR="000270CD" w:rsidRDefault="000270CD" w:rsidP="005E4D4F">
      <w:pPr>
        <w:pStyle w:val="Ueberschrift"/>
      </w:pPr>
    </w:p>
    <w:p w14:paraId="3B212FC9" w14:textId="77777777" w:rsidR="005E4D4F" w:rsidRPr="005E4D4F" w:rsidRDefault="005E4D4F" w:rsidP="005E4D4F">
      <w:pPr>
        <w:pStyle w:val="Ueberschrift"/>
      </w:pPr>
      <w:r w:rsidRPr="005E4D4F">
        <w:t>Methodische Vorgangsweise</w:t>
      </w:r>
    </w:p>
    <w:p w14:paraId="03331142" w14:textId="2E42291B" w:rsidR="00DE42D5" w:rsidRDefault="00DE42D5" w:rsidP="00DE42D5">
      <w:r w:rsidRPr="00DE42D5">
        <w:t xml:space="preserve">Die entwickelte Methode umfasst die Optionen des </w:t>
      </w:r>
      <w:r>
        <w:t xml:space="preserve">Neubaus von Wasserstoff- und </w:t>
      </w:r>
      <w:r w:rsidRPr="00860D78">
        <w:t>CO</w:t>
      </w:r>
      <w:r w:rsidR="00860D78">
        <w:rPr>
          <w:vertAlign w:val="subscript"/>
        </w:rPr>
        <w:t>2</w:t>
      </w:r>
      <w:r w:rsidR="00860D78">
        <w:t>-</w:t>
      </w:r>
      <w:r w:rsidRPr="00860D78">
        <w:t>Leitungen</w:t>
      </w:r>
      <w:r w:rsidRPr="00DE42D5">
        <w:t>, den Umbau von Erdgas- in Wasserstoffleitungen sowie die Wasserstofferzeugung mittels Elektrolyse am Verbrauchsstandort.</w:t>
      </w:r>
    </w:p>
    <w:p w14:paraId="5929BF48" w14:textId="77777777" w:rsidR="00DE42D5" w:rsidRDefault="00DE42D5" w:rsidP="00DE42D5">
      <w:r>
        <w:t>Die auf Szenarien basierende Datengrundlage beinhaltet das prospektiv überschüssige Stromangebot aus erneuerbaren Energien, den künftigen Wasserstoffverbrauch der Industrie und des Verkehrs sowie die aus Industrieabgasen abgeschiedenen CO</w:t>
      </w:r>
      <w:r>
        <w:rPr>
          <w:vertAlign w:val="subscript"/>
        </w:rPr>
        <w:t>2</w:t>
      </w:r>
      <w:r>
        <w:t xml:space="preserve"> Emissionen auf NUTS 3-Ebene</w:t>
      </w:r>
      <w:r>
        <w:rPr>
          <w:rStyle w:val="Funotenzeichen"/>
        </w:rPr>
        <w:footnoteReference w:id="2"/>
      </w:r>
      <w:r>
        <w:t xml:space="preserve">. Außerdem fließt die Menge </w:t>
      </w:r>
      <w:proofErr w:type="gramStart"/>
      <w:r>
        <w:t>an inländisch produziertem synthetischen Methan</w:t>
      </w:r>
      <w:proofErr w:type="gramEnd"/>
      <w:r>
        <w:t xml:space="preserve"> in die Betrachtung mit ein.</w:t>
      </w:r>
    </w:p>
    <w:p w14:paraId="319C10BD" w14:textId="77777777" w:rsidR="00DE42D5" w:rsidRDefault="00DE42D5" w:rsidP="00DE42D5">
      <w:r>
        <w:t>Eine gemischt-ganzzahlige Optimierung bestimmt die Länge und die Routenführung eines Leitungsnetzes nach ökonomischen Kriterien.</w:t>
      </w:r>
    </w:p>
    <w:p w14:paraId="4B3AFC80" w14:textId="77777777" w:rsidR="005E4D4F" w:rsidRPr="005E4D4F" w:rsidRDefault="005E4D4F" w:rsidP="00227125"/>
    <w:p w14:paraId="30F58C2C" w14:textId="77777777" w:rsidR="005E4D4F" w:rsidRPr="005E4D4F" w:rsidRDefault="005E4D4F" w:rsidP="005E4D4F">
      <w:pPr>
        <w:pStyle w:val="Ueberschrift"/>
      </w:pPr>
      <w:r w:rsidRPr="005E4D4F">
        <w:t>Ergebnisse und Schlussfolgerungen</w:t>
      </w:r>
    </w:p>
    <w:p w14:paraId="570F4D5F" w14:textId="77777777" w:rsidR="00DE42D5" w:rsidRDefault="00DE42D5" w:rsidP="00DE42D5">
      <w:r>
        <w:t>Dabei wird deutlich, dass die Produktion von Wasserstoff in Stromüberschussgegenden und dessen anschließender Transport mit Wasserstoffleitungen meistens günstiger als die Elektrolyse in der Verbrauchsgegend ist. Dies ist jedoch nicht der Fall, wenn die Verbräuche klein und die Distanzen groß sind. Zudem zeigt sich, das</w:t>
      </w:r>
      <w:r w:rsidR="00860D78">
        <w:t>s die Wirtschaftlichkeit von CO</w:t>
      </w:r>
      <w:r w:rsidR="00860D78">
        <w:rPr>
          <w:vertAlign w:val="subscript"/>
        </w:rPr>
        <w:t>2</w:t>
      </w:r>
      <w:r w:rsidR="00860D78">
        <w:t>-</w:t>
      </w:r>
      <w:r>
        <w:t>Leitung</w:t>
      </w:r>
      <w:r w:rsidR="00860D78">
        <w:t>en nur gegeben ist, wenn die CO</w:t>
      </w:r>
      <w:r w:rsidR="00860D78">
        <w:rPr>
          <w:vertAlign w:val="subscript"/>
        </w:rPr>
        <w:t>2</w:t>
      </w:r>
      <w:r>
        <w:t xml:space="preserve"> Abscheidung aus Industrieabgasen deutlich günstiger als die Abscheidung aus der Luft ist.</w:t>
      </w:r>
    </w:p>
    <w:p w14:paraId="01182A1B" w14:textId="77777777" w:rsidR="002946B8" w:rsidRDefault="00DE42D5" w:rsidP="00227125">
      <w:r>
        <w:t xml:space="preserve">Der </w:t>
      </w:r>
      <w:r w:rsidR="00860D78">
        <w:t xml:space="preserve">in </w:t>
      </w:r>
      <w:r w:rsidR="00860D78">
        <w:fldChar w:fldCharType="begin"/>
      </w:r>
      <w:r w:rsidR="00860D78">
        <w:instrText xml:space="preserve"> REF _Ref72423910 \h </w:instrText>
      </w:r>
      <w:r w:rsidR="00860D78">
        <w:fldChar w:fldCharType="separate"/>
      </w:r>
      <w:r w:rsidR="00860D78">
        <w:t xml:space="preserve">Abbildung </w:t>
      </w:r>
      <w:r w:rsidR="00860D78">
        <w:rPr>
          <w:noProof/>
        </w:rPr>
        <w:t>1</w:t>
      </w:r>
      <w:r w:rsidR="00860D78">
        <w:fldChar w:fldCharType="end"/>
      </w:r>
      <w:r w:rsidR="00860D78">
        <w:t xml:space="preserve"> abgebildete </w:t>
      </w:r>
      <w:r>
        <w:t xml:space="preserve">Leitungsbau wird zunächst zwischen Regionen mit einer hohen erneuerbaren Stromerzeugung und nahen Regionen mit Verbrauchszentren wirtschaftlich. Diese Vorrausetzungen erfüllen in Deutschland einerseits die westliche Nordseeküste und das Ruhrgebiet und anderseits Mecklenburg-Vorpommern und das mitteldeutsche Chemiedreieck. Die Simulationen konstruieren </w:t>
      </w:r>
      <w:proofErr w:type="gramStart"/>
      <w:r>
        <w:t>in 2050</w:t>
      </w:r>
      <w:proofErr w:type="gramEnd"/>
      <w:r>
        <w:t xml:space="preserve"> ein weitläufig ausgebautes Wasserstoff-Transmissionsnetz mit einer Länge von </w:t>
      </w:r>
      <w:r>
        <w:lastRenderedPageBreak/>
        <w:t>5 121 km in Deutschland. Dabei stellen sich spezifische Kosten für den leitungsgebundenen Transport von Wasserstoff von 5,27 €/MWh ein, die damit über den derzeitigen Netzentgelten für Erdgas für Industriebetriebe von</w:t>
      </w:r>
      <w:r w:rsidRPr="00DD612C">
        <w:t xml:space="preserve"> </w:t>
      </w:r>
      <w:r>
        <w:t>3 €/MWh liegen.</w:t>
      </w:r>
    </w:p>
    <w:p w14:paraId="1713F333" w14:textId="77777777" w:rsidR="00860D78" w:rsidRPr="00803917" w:rsidRDefault="00860D78" w:rsidP="00227125"/>
    <w:p w14:paraId="7365B781" w14:textId="77777777" w:rsidR="005E4D4F" w:rsidRDefault="00DE42D5" w:rsidP="00227125">
      <w:pPr>
        <w:pStyle w:val="Literatur"/>
      </w:pPr>
      <w:r>
        <w:rPr>
          <w:noProof/>
        </w:rPr>
        <w:drawing>
          <wp:inline distT="0" distB="0" distL="0" distR="0" wp14:anchorId="143C12EB" wp14:editId="5FAE6F4D">
            <wp:extent cx="5760720" cy="2742565"/>
            <wp:effectExtent l="0" t="0" r="0" b="63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2742565"/>
                    </a:xfrm>
                    <a:prstGeom prst="rect">
                      <a:avLst/>
                    </a:prstGeom>
                  </pic:spPr>
                </pic:pic>
              </a:graphicData>
            </a:graphic>
          </wp:inline>
        </w:drawing>
      </w:r>
    </w:p>
    <w:p w14:paraId="203DBC40" w14:textId="77777777" w:rsidR="00DE42D5" w:rsidRDefault="00DE42D5" w:rsidP="00DE42D5">
      <w:pPr>
        <w:pStyle w:val="Literatur"/>
        <w:keepNext/>
      </w:pPr>
      <w:r>
        <w:rPr>
          <w:noProof/>
        </w:rPr>
        <w:drawing>
          <wp:inline distT="0" distB="0" distL="0" distR="0" wp14:anchorId="41F0C413" wp14:editId="4C9EE458">
            <wp:extent cx="5760720" cy="76517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765175"/>
                    </a:xfrm>
                    <a:prstGeom prst="rect">
                      <a:avLst/>
                    </a:prstGeom>
                  </pic:spPr>
                </pic:pic>
              </a:graphicData>
            </a:graphic>
          </wp:inline>
        </w:drawing>
      </w:r>
    </w:p>
    <w:p w14:paraId="7B6BA02A" w14:textId="77777777" w:rsidR="00DE42D5" w:rsidRDefault="00DE42D5" w:rsidP="00DE42D5">
      <w:pPr>
        <w:pStyle w:val="Beschriftung"/>
      </w:pPr>
      <w:bookmarkStart w:id="0" w:name="_Ref72423910"/>
      <w:r>
        <w:t xml:space="preserve">Abbildung </w:t>
      </w:r>
      <w:r w:rsidR="00C409F3">
        <w:fldChar w:fldCharType="begin"/>
      </w:r>
      <w:r w:rsidR="00C409F3">
        <w:instrText xml:space="preserve"> SEQ Abbildung \* ARABIC </w:instrText>
      </w:r>
      <w:r w:rsidR="00C409F3">
        <w:fldChar w:fldCharType="separate"/>
      </w:r>
      <w:r>
        <w:rPr>
          <w:noProof/>
        </w:rPr>
        <w:t>1</w:t>
      </w:r>
      <w:r w:rsidR="00C409F3">
        <w:rPr>
          <w:noProof/>
        </w:rPr>
        <w:fldChar w:fldCharType="end"/>
      </w:r>
      <w:bookmarkEnd w:id="0"/>
      <w:r>
        <w:t>:</w:t>
      </w:r>
      <w:r w:rsidRPr="00F131AB">
        <w:t>: Power-to-Gas Systeme für die Jahre 2030, 2040 und 2050</w:t>
      </w:r>
    </w:p>
    <w:p w14:paraId="6AEC5EF2" w14:textId="77777777" w:rsidR="000270CD" w:rsidRDefault="000270CD" w:rsidP="000270CD"/>
    <w:p w14:paraId="09035524" w14:textId="77777777" w:rsidR="000270CD" w:rsidRPr="00E46441" w:rsidRDefault="000270CD" w:rsidP="000270CD">
      <w:r w:rsidRPr="0035186B">
        <w:rPr>
          <w:b/>
          <w:u w:val="single"/>
        </w:rPr>
        <w:t>Keywords:</w:t>
      </w:r>
      <w:r w:rsidRPr="00EF0B55">
        <w:t xml:space="preserve"> </w:t>
      </w:r>
      <w:r w:rsidRPr="00911CF8">
        <w:t>Wasserstoff</w:t>
      </w:r>
      <w:r w:rsidR="00B53FA3">
        <w:t>netz</w:t>
      </w:r>
      <w:r w:rsidRPr="00911CF8">
        <w:t>, CO</w:t>
      </w:r>
      <w:r>
        <w:rPr>
          <w:vertAlign w:val="subscript"/>
        </w:rPr>
        <w:t>2</w:t>
      </w:r>
      <w:r>
        <w:noBreakHyphen/>
      </w:r>
      <w:r w:rsidR="00B53FA3">
        <w:t>Infrastruktur</w:t>
      </w:r>
      <w:r w:rsidRPr="00911CF8">
        <w:t xml:space="preserve">, Optimierungsmodell, </w:t>
      </w:r>
      <w:r>
        <w:t>Synthetische Gase</w:t>
      </w:r>
      <w:r w:rsidRPr="00E33FEE">
        <w:t xml:space="preserve"> </w:t>
      </w:r>
    </w:p>
    <w:p w14:paraId="5FE5F6DB" w14:textId="77777777" w:rsidR="000270CD" w:rsidRPr="000270CD" w:rsidRDefault="000270CD" w:rsidP="000270CD"/>
    <w:sectPr w:rsidR="000270CD" w:rsidRPr="000270CD">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7238F" w14:textId="77777777" w:rsidR="00C409F3" w:rsidRDefault="00C409F3">
      <w:r>
        <w:separator/>
      </w:r>
    </w:p>
  </w:endnote>
  <w:endnote w:type="continuationSeparator" w:id="0">
    <w:p w14:paraId="722A8CD0" w14:textId="77777777" w:rsidR="00C409F3" w:rsidRDefault="00C40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F15BA" w14:textId="77777777" w:rsidR="00C409F3" w:rsidRDefault="00C409F3">
      <w:r>
        <w:separator/>
      </w:r>
    </w:p>
  </w:footnote>
  <w:footnote w:type="continuationSeparator" w:id="0">
    <w:p w14:paraId="544C5093" w14:textId="77777777" w:rsidR="00C409F3" w:rsidRDefault="00C409F3">
      <w:r>
        <w:continuationSeparator/>
      </w:r>
    </w:p>
  </w:footnote>
  <w:footnote w:id="1">
    <w:p w14:paraId="0B3B2893" w14:textId="77777777" w:rsidR="00DE42D5" w:rsidRPr="001350B0" w:rsidRDefault="00DE42D5" w:rsidP="00DE42D5">
      <w:pPr>
        <w:rPr>
          <w:lang w:val="en-US"/>
        </w:rPr>
      </w:pPr>
      <w:r>
        <w:rPr>
          <w:rStyle w:val="Funotenzeichen"/>
        </w:rPr>
        <w:footnoteRef/>
      </w:r>
      <w:r w:rsidRPr="001350B0">
        <w:rPr>
          <w:lang w:val="en-US"/>
        </w:rPr>
        <w:t xml:space="preserve"> </w:t>
      </w:r>
      <w:proofErr w:type="spellStart"/>
      <w:r w:rsidRPr="001350B0">
        <w:rPr>
          <w:lang w:val="en-US"/>
        </w:rPr>
        <w:t>Jungautor</w:t>
      </w:r>
      <w:proofErr w:type="spellEnd"/>
    </w:p>
  </w:footnote>
  <w:footnote w:id="2">
    <w:p w14:paraId="77903CA8" w14:textId="77777777" w:rsidR="00DE42D5" w:rsidRPr="00E24361" w:rsidRDefault="00DE42D5" w:rsidP="00DE42D5">
      <w:pPr>
        <w:rPr>
          <w:lang w:val="en-US"/>
        </w:rPr>
      </w:pPr>
      <w:r w:rsidRPr="00DE42D5">
        <w:rPr>
          <w:lang w:val="en-US"/>
        </w:rPr>
        <w:footnoteRef/>
      </w:r>
      <w:r w:rsidRPr="00DE42D5">
        <w:rPr>
          <w:lang w:val="en-US"/>
        </w:rPr>
        <w:t xml:space="preserve"> Nomenclature des </w:t>
      </w:r>
      <w:proofErr w:type="spellStart"/>
      <w:r w:rsidRPr="00DE42D5">
        <w:rPr>
          <w:lang w:val="en-US"/>
        </w:rPr>
        <w:t>unités</w:t>
      </w:r>
      <w:proofErr w:type="spellEnd"/>
      <w:r w:rsidRPr="00DE42D5">
        <w:rPr>
          <w:lang w:val="en-US"/>
        </w:rPr>
        <w:t xml:space="preserve"> </w:t>
      </w:r>
      <w:proofErr w:type="spellStart"/>
      <w:r w:rsidRPr="00DE42D5">
        <w:rPr>
          <w:lang w:val="en-US"/>
        </w:rPr>
        <w:t>territoriales</w:t>
      </w:r>
      <w:proofErr w:type="spellEnd"/>
      <w:r w:rsidRPr="00DE42D5">
        <w:rPr>
          <w:lang w:val="en-US"/>
        </w:rPr>
        <w:t xml:space="preserve"> </w:t>
      </w:r>
      <w:proofErr w:type="spellStart"/>
      <w:r w:rsidRPr="00DE42D5">
        <w:rPr>
          <w:lang w:val="en-US"/>
        </w:rPr>
        <w:t>statistiques</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5071F"/>
    <w:multiLevelType w:val="multilevel"/>
    <w:tmpl w:val="0978BA90"/>
    <w:numStyleLink w:val="Aufzhlung"/>
  </w:abstractNum>
  <w:abstractNum w:abstractNumId="1" w15:restartNumberingAfterBreak="0">
    <w:nsid w:val="17567494"/>
    <w:multiLevelType w:val="hybridMultilevel"/>
    <w:tmpl w:val="0978BA90"/>
    <w:lvl w:ilvl="0" w:tplc="085E6674">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5D75967"/>
    <w:multiLevelType w:val="multilevel"/>
    <w:tmpl w:val="0978BA90"/>
    <w:numStyleLink w:val="Aufzhlung"/>
  </w:abstractNum>
  <w:abstractNum w:abstractNumId="3" w15:restartNumberingAfterBreak="0">
    <w:nsid w:val="6B5E4F19"/>
    <w:multiLevelType w:val="multilevel"/>
    <w:tmpl w:val="0978BA90"/>
    <w:styleLink w:val="Aufzhlung"/>
    <w:lvl w:ilvl="0">
      <w:start w:val="1"/>
      <w:numFmt w:val="bullet"/>
      <w:lvlText w:val="-"/>
      <w:lvlJc w:val="left"/>
      <w:pPr>
        <w:tabs>
          <w:tab w:val="num" w:pos="720"/>
        </w:tabs>
        <w:ind w:left="720" w:hanging="360"/>
      </w:pPr>
      <w:rPr>
        <w:rFonts w:ascii="Arial" w:hAnsi="Arial" w:cs="Arial"/>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5D66590"/>
    <w:multiLevelType w:val="hybridMultilevel"/>
    <w:tmpl w:val="142EB14E"/>
    <w:lvl w:ilvl="0" w:tplc="70969FF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A0440F9"/>
    <w:multiLevelType w:val="hybridMultilevel"/>
    <w:tmpl w:val="874867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K0MDM1NjEzMDQ2NDFX0lEKTi0uzszPAykwrAUAX6v8WSwAAAA="/>
  </w:docVars>
  <w:rsids>
    <w:rsidRoot w:val="005E4D4F"/>
    <w:rsid w:val="00010E92"/>
    <w:rsid w:val="000270CD"/>
    <w:rsid w:val="00170348"/>
    <w:rsid w:val="002014D3"/>
    <w:rsid w:val="00227125"/>
    <w:rsid w:val="00262FD5"/>
    <w:rsid w:val="002946B8"/>
    <w:rsid w:val="00350F98"/>
    <w:rsid w:val="00372E07"/>
    <w:rsid w:val="003B676F"/>
    <w:rsid w:val="003C28FE"/>
    <w:rsid w:val="00483B87"/>
    <w:rsid w:val="005B1ADB"/>
    <w:rsid w:val="005E4D4F"/>
    <w:rsid w:val="00662525"/>
    <w:rsid w:val="007378C8"/>
    <w:rsid w:val="00741EC0"/>
    <w:rsid w:val="00803917"/>
    <w:rsid w:val="00860D78"/>
    <w:rsid w:val="00A07737"/>
    <w:rsid w:val="00A156E4"/>
    <w:rsid w:val="00A6148D"/>
    <w:rsid w:val="00B53FA3"/>
    <w:rsid w:val="00BF05FA"/>
    <w:rsid w:val="00C409F3"/>
    <w:rsid w:val="00CE1A70"/>
    <w:rsid w:val="00D53E86"/>
    <w:rsid w:val="00D736F8"/>
    <w:rsid w:val="00DE42D5"/>
    <w:rsid w:val="00E24361"/>
    <w:rsid w:val="00E520E6"/>
    <w:rsid w:val="00F81A87"/>
    <w:rsid w:val="00FB69AE"/>
    <w:rsid w:val="00FD5D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F6311C"/>
  <w15:chartTrackingRefBased/>
  <w15:docId w15:val="{59B9B081-1316-4B2C-9D1D-FBDAB8096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27125"/>
    <w:pPr>
      <w:jc w:val="both"/>
    </w:pPr>
    <w:rPr>
      <w:rFonts w:ascii="Arial" w:hAnsi="Arial"/>
      <w:szCs w:val="24"/>
      <w:lang w:eastAsia="ko-K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aliases w:val="Footnote Reference Number,-E Fußnotenzeichen,(Diplomarbeit FZ),(Diplomarbeit FZ)1,(Diplomarbeit FZ)2,(Diplomarbeit FZ)3,(Diplomarbeit FZ)4,(Diplomarbeit FZ)5,(Diplomarbeit FZ)6,(Diplomarbeit FZ)7,(Diplomarbeit FZ)8,(Diplomarbeit FZ)9"/>
    <w:uiPriority w:val="99"/>
    <w:semiHidden/>
    <w:rsid w:val="005E4D4F"/>
    <w:rPr>
      <w:vertAlign w:val="superscript"/>
    </w:rPr>
  </w:style>
  <w:style w:type="paragraph" w:styleId="Titel">
    <w:name w:val="Title"/>
    <w:basedOn w:val="Standard"/>
    <w:link w:val="TitelZchn"/>
    <w:qFormat/>
    <w:rsid w:val="005E4D4F"/>
    <w:pPr>
      <w:pageBreakBefore/>
      <w:spacing w:before="120" w:after="120"/>
      <w:jc w:val="center"/>
    </w:pPr>
    <w:rPr>
      <w:b/>
      <w:snapToGrid w:val="0"/>
      <w:kern w:val="28"/>
      <w:sz w:val="32"/>
      <w:szCs w:val="20"/>
      <w:lang w:eastAsia="en-US"/>
    </w:rPr>
  </w:style>
  <w:style w:type="numbering" w:customStyle="1" w:styleId="Aufzhlung">
    <w:name w:val="Aufzählung"/>
    <w:basedOn w:val="KeineListe"/>
    <w:rsid w:val="00227125"/>
    <w:pPr>
      <w:numPr>
        <w:numId w:val="2"/>
      </w:numPr>
    </w:pPr>
  </w:style>
  <w:style w:type="paragraph" w:customStyle="1" w:styleId="Abbildungsbeschriftung">
    <w:name w:val="Abbildungsbeschriftung"/>
    <w:basedOn w:val="Standard"/>
    <w:rsid w:val="002946B8"/>
    <w:rPr>
      <w:i/>
      <w:iCs/>
    </w:rPr>
  </w:style>
  <w:style w:type="character" w:customStyle="1" w:styleId="TitelZchn">
    <w:name w:val="Titel Zchn"/>
    <w:link w:val="Titel"/>
    <w:rsid w:val="005E4D4F"/>
    <w:rPr>
      <w:rFonts w:ascii="Arial" w:hAnsi="Arial"/>
      <w:b/>
      <w:snapToGrid w:val="0"/>
      <w:kern w:val="28"/>
      <w:sz w:val="32"/>
      <w:lang w:val="de-DE" w:eastAsia="en-US" w:bidi="ar-SA"/>
    </w:rPr>
  </w:style>
  <w:style w:type="paragraph" w:customStyle="1" w:styleId="Ueberschrift">
    <w:name w:val="Ueberschrift"/>
    <w:basedOn w:val="Standard"/>
    <w:link w:val="UeberschriftChar"/>
    <w:rsid w:val="00A07737"/>
    <w:pPr>
      <w:spacing w:before="120" w:after="120"/>
    </w:pPr>
    <w:rPr>
      <w:b/>
      <w:spacing w:val="-5"/>
      <w:sz w:val="22"/>
      <w:lang w:eastAsia="de-DE"/>
    </w:rPr>
  </w:style>
  <w:style w:type="character" w:customStyle="1" w:styleId="UeberschriftChar">
    <w:name w:val="Ueberschrift Char"/>
    <w:link w:val="Ueberschrift"/>
    <w:rsid w:val="00A07737"/>
    <w:rPr>
      <w:rFonts w:ascii="Arial" w:hAnsi="Arial"/>
      <w:b/>
      <w:spacing w:val="-5"/>
      <w:sz w:val="22"/>
      <w:szCs w:val="24"/>
      <w:lang w:val="de-DE" w:eastAsia="de-DE" w:bidi="ar-SA"/>
    </w:rPr>
  </w:style>
  <w:style w:type="paragraph" w:customStyle="1" w:styleId="Abstract-Titel">
    <w:name w:val="Abstract-Titel"/>
    <w:basedOn w:val="Titel"/>
    <w:rsid w:val="005E4D4F"/>
    <w:rPr>
      <w:rFonts w:cs="Arial"/>
    </w:rPr>
  </w:style>
  <w:style w:type="paragraph" w:customStyle="1" w:styleId="AutorenOrganisation">
    <w:name w:val="Autoren &amp; Organisation"/>
    <w:basedOn w:val="Standard"/>
    <w:rsid w:val="00010E92"/>
    <w:pPr>
      <w:tabs>
        <w:tab w:val="left" w:pos="1560"/>
      </w:tabs>
      <w:overflowPunct w:val="0"/>
      <w:autoSpaceDE w:val="0"/>
      <w:autoSpaceDN w:val="0"/>
      <w:adjustRightInd w:val="0"/>
      <w:jc w:val="center"/>
      <w:textAlignment w:val="baseline"/>
    </w:pPr>
    <w:rPr>
      <w:rFonts w:cs="Arial"/>
      <w:color w:val="181512"/>
      <w:spacing w:val="-5"/>
      <w:sz w:val="24"/>
      <w:lang w:val="de-AT" w:eastAsia="de-DE"/>
    </w:rPr>
  </w:style>
  <w:style w:type="paragraph" w:customStyle="1" w:styleId="Literatur">
    <w:name w:val="Literatur"/>
    <w:basedOn w:val="Standard"/>
    <w:rsid w:val="005E4D4F"/>
    <w:pPr>
      <w:ind w:left="284" w:hanging="284"/>
    </w:pPr>
    <w:rPr>
      <w:rFonts w:cs="Arial"/>
      <w:szCs w:val="20"/>
      <w:lang w:eastAsia="de-DE"/>
    </w:rPr>
  </w:style>
  <w:style w:type="paragraph" w:customStyle="1" w:styleId="Autoren">
    <w:name w:val="Autoren"/>
    <w:basedOn w:val="Standard"/>
    <w:rsid w:val="00DE42D5"/>
    <w:pPr>
      <w:spacing w:after="120" w:line="288" w:lineRule="auto"/>
      <w:jc w:val="center"/>
    </w:pPr>
    <w:rPr>
      <w:b/>
      <w:sz w:val="24"/>
      <w:lang w:eastAsia="de-DE"/>
    </w:rPr>
  </w:style>
  <w:style w:type="paragraph" w:customStyle="1" w:styleId="Institution">
    <w:name w:val="Institution"/>
    <w:basedOn w:val="Standard"/>
    <w:rsid w:val="00DE42D5"/>
    <w:pPr>
      <w:spacing w:before="60" w:after="240"/>
      <w:jc w:val="center"/>
    </w:pPr>
    <w:rPr>
      <w:sz w:val="24"/>
      <w:lang w:eastAsia="de-DE"/>
    </w:rPr>
  </w:style>
  <w:style w:type="paragraph" w:styleId="Funotentext">
    <w:name w:val="footnote text"/>
    <w:basedOn w:val="Standard"/>
    <w:link w:val="FunotentextZchn"/>
    <w:uiPriority w:val="99"/>
    <w:semiHidden/>
    <w:rsid w:val="00DE42D5"/>
    <w:pPr>
      <w:spacing w:after="120" w:line="288" w:lineRule="auto"/>
    </w:pPr>
    <w:rPr>
      <w:sz w:val="22"/>
      <w:szCs w:val="20"/>
      <w:lang w:eastAsia="de-DE"/>
    </w:rPr>
  </w:style>
  <w:style w:type="character" w:customStyle="1" w:styleId="FunotentextZchn">
    <w:name w:val="Fußnotentext Zchn"/>
    <w:basedOn w:val="Absatz-Standardschriftart"/>
    <w:link w:val="Funotentext"/>
    <w:uiPriority w:val="99"/>
    <w:semiHidden/>
    <w:rsid w:val="00DE42D5"/>
    <w:rPr>
      <w:rFonts w:ascii="Arial" w:hAnsi="Arial"/>
      <w:sz w:val="22"/>
    </w:rPr>
  </w:style>
  <w:style w:type="paragraph" w:styleId="Beschriftung">
    <w:name w:val="caption"/>
    <w:basedOn w:val="Standard"/>
    <w:next w:val="Standard"/>
    <w:uiPriority w:val="35"/>
    <w:unhideWhenUsed/>
    <w:qFormat/>
    <w:rsid w:val="00DE42D5"/>
    <w:pPr>
      <w:spacing w:after="200"/>
    </w:pPr>
    <w:rPr>
      <w:i/>
      <w:iCs/>
      <w:color w:val="44546A" w:themeColor="text2"/>
      <w:sz w:val="18"/>
      <w:szCs w:val="18"/>
    </w:rPr>
  </w:style>
  <w:style w:type="paragraph" w:styleId="Listenabsatz">
    <w:name w:val="List Paragraph"/>
    <w:basedOn w:val="Standard"/>
    <w:uiPriority w:val="34"/>
    <w:qFormat/>
    <w:rsid w:val="001703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B69389AE-2FC2-4683-AE92-04392CB3F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2888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Titel</vt:lpstr>
    </vt:vector>
  </TitlesOfParts>
  <Company>TU-Wien Campuslizenz</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subject/>
  <dc:creator>Gerald</dc:creator>
  <cp:keywords/>
  <cp:lastModifiedBy>Tobias Hübner</cp:lastModifiedBy>
  <cp:revision>3</cp:revision>
  <dcterms:created xsi:type="dcterms:W3CDTF">2021-05-28T10:26:00Z</dcterms:created>
  <dcterms:modified xsi:type="dcterms:W3CDTF">2021-05-28T10:50:00Z</dcterms:modified>
</cp:coreProperties>
</file>