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E9BD" w14:textId="392E6117" w:rsidR="005E4D4F" w:rsidRPr="005E4D4F" w:rsidRDefault="002457E3" w:rsidP="005E4D4F">
      <w:pPr>
        <w:pStyle w:val="Abstract-Titel"/>
      </w:pPr>
      <w:r>
        <w:t xml:space="preserve">Vergleich </w:t>
      </w:r>
      <w:r w:rsidR="001A766B">
        <w:t>von</w:t>
      </w:r>
      <w:r w:rsidR="005D0AEC">
        <w:t xml:space="preserve"> </w:t>
      </w:r>
      <w:r>
        <w:t>Preismechanismen</w:t>
      </w:r>
      <w:r w:rsidR="00C712F7">
        <w:t xml:space="preserve"> </w:t>
      </w:r>
      <w:r w:rsidR="005D0AEC">
        <w:t xml:space="preserve">in </w:t>
      </w:r>
      <w:r>
        <w:t>Peer-to-Peer-Energiegemeinschaften</w:t>
      </w:r>
    </w:p>
    <w:p w14:paraId="15E8DEFD" w14:textId="77777777" w:rsidR="00BF05FA" w:rsidRDefault="00BF05FA" w:rsidP="00A156E4">
      <w:pPr>
        <w:pStyle w:val="AutorenOrganisation"/>
      </w:pPr>
      <w:r>
        <w:t>Themenbereich</w:t>
      </w:r>
    </w:p>
    <w:p w14:paraId="21BF55F8" w14:textId="5E05292D" w:rsidR="005E4D4F" w:rsidRPr="007C5344" w:rsidRDefault="002457E3" w:rsidP="00A156E4">
      <w:pPr>
        <w:pStyle w:val="AutorenOrganisation"/>
        <w:rPr>
          <w:lang w:val="de-DE"/>
        </w:rPr>
      </w:pPr>
      <w:r w:rsidRPr="007C5344">
        <w:rPr>
          <w:lang w:val="de-DE"/>
        </w:rPr>
        <w:t>Alexander</w:t>
      </w:r>
      <w:r w:rsidR="005E4D4F" w:rsidRPr="007C5344">
        <w:rPr>
          <w:lang w:val="de-DE"/>
        </w:rPr>
        <w:t xml:space="preserve"> </w:t>
      </w:r>
      <w:r w:rsidRPr="007C5344">
        <w:rPr>
          <w:lang w:val="de-DE"/>
        </w:rPr>
        <w:t>BOGENSPERGER</w:t>
      </w:r>
      <w:r w:rsidR="005E4D4F" w:rsidRPr="00010E92">
        <w:rPr>
          <w:vertAlign w:val="superscript"/>
        </w:rPr>
        <w:footnoteReference w:id="2"/>
      </w:r>
      <w:r w:rsidR="00A156E4" w:rsidRPr="007C5344">
        <w:rPr>
          <w:vertAlign w:val="superscript"/>
          <w:lang w:val="de-DE"/>
        </w:rPr>
        <w:t>(1)</w:t>
      </w:r>
      <w:r w:rsidR="005E4D4F" w:rsidRPr="007C5344">
        <w:rPr>
          <w:lang w:val="de-DE"/>
        </w:rPr>
        <w:t xml:space="preserve">, </w:t>
      </w:r>
      <w:r w:rsidRPr="007C5344">
        <w:rPr>
          <w:lang w:val="de-DE"/>
        </w:rPr>
        <w:t>Joachim</w:t>
      </w:r>
      <w:r w:rsidR="00010E92" w:rsidRPr="007C5344">
        <w:rPr>
          <w:lang w:val="de-DE"/>
        </w:rPr>
        <w:t xml:space="preserve"> </w:t>
      </w:r>
      <w:r w:rsidRPr="007C5344">
        <w:rPr>
          <w:lang w:val="de-DE"/>
        </w:rPr>
        <w:t>FERSTL</w:t>
      </w:r>
      <w:r w:rsidR="00A156E4" w:rsidRPr="007C5344">
        <w:rPr>
          <w:vertAlign w:val="superscript"/>
          <w:lang w:val="de-DE"/>
        </w:rPr>
        <w:t>(</w:t>
      </w:r>
      <w:r w:rsidRPr="007C5344">
        <w:rPr>
          <w:vertAlign w:val="superscript"/>
          <w:lang w:val="de-DE"/>
        </w:rPr>
        <w:t>1</w:t>
      </w:r>
      <w:r w:rsidR="00A156E4" w:rsidRPr="007C5344">
        <w:rPr>
          <w:vertAlign w:val="superscript"/>
          <w:lang w:val="de-DE"/>
        </w:rPr>
        <w:t>)</w:t>
      </w:r>
      <w:r w:rsidRPr="007C5344">
        <w:rPr>
          <w:lang w:val="de-DE"/>
        </w:rPr>
        <w:t>, Ying YU</w:t>
      </w:r>
      <w:r w:rsidRPr="007C5344">
        <w:rPr>
          <w:vertAlign w:val="superscript"/>
          <w:lang w:val="de-DE"/>
        </w:rPr>
        <w:t>(1)</w:t>
      </w:r>
    </w:p>
    <w:p w14:paraId="4451DE90" w14:textId="5E9F1529" w:rsidR="005E4D4F" w:rsidRPr="002457E3" w:rsidRDefault="00A156E4" w:rsidP="005E4D4F">
      <w:pPr>
        <w:pStyle w:val="AutorenOrganisation"/>
        <w:rPr>
          <w:lang w:val="de-DE"/>
        </w:rPr>
      </w:pPr>
      <w:r w:rsidRPr="002457E3">
        <w:rPr>
          <w:vertAlign w:val="superscript"/>
          <w:lang w:val="de-DE"/>
        </w:rPr>
        <w:t>(</w:t>
      </w:r>
      <w:r w:rsidR="00010E92" w:rsidRPr="002457E3">
        <w:rPr>
          <w:vertAlign w:val="superscript"/>
          <w:lang w:val="de-DE"/>
        </w:rPr>
        <w:t>1</w:t>
      </w:r>
      <w:r w:rsidRPr="002457E3">
        <w:rPr>
          <w:vertAlign w:val="superscript"/>
          <w:lang w:val="de-DE"/>
        </w:rPr>
        <w:t>)</w:t>
      </w:r>
      <w:r w:rsidR="002457E3" w:rsidRPr="002457E3">
        <w:rPr>
          <w:lang w:val="de-DE"/>
        </w:rPr>
        <w:t>Forschungsstelle für Energiewirtschaft e.</w:t>
      </w:r>
      <w:r w:rsidR="002457E3">
        <w:rPr>
          <w:lang w:val="de-DE"/>
        </w:rPr>
        <w:t> </w:t>
      </w:r>
      <w:r w:rsidR="002457E3" w:rsidRPr="002457E3">
        <w:rPr>
          <w:lang w:val="de-DE"/>
        </w:rPr>
        <w:t>V</w:t>
      </w:r>
      <w:r w:rsidR="002457E3">
        <w:rPr>
          <w:lang w:val="de-DE"/>
        </w:rPr>
        <w:t>.</w:t>
      </w:r>
    </w:p>
    <w:p w14:paraId="13D4217E" w14:textId="77777777" w:rsidR="00A07737" w:rsidRPr="002457E3" w:rsidRDefault="00A07737" w:rsidP="00FB69AE"/>
    <w:p w14:paraId="4C1596D2" w14:textId="77777777" w:rsidR="005E4D4F" w:rsidRPr="005E4D4F" w:rsidRDefault="005E4D4F" w:rsidP="005E4D4F">
      <w:pPr>
        <w:pStyle w:val="Ueberschrift"/>
      </w:pPr>
      <w:r w:rsidRPr="005E4D4F">
        <w:t>Motivation und zentrale Fragestellung</w:t>
      </w:r>
    </w:p>
    <w:p w14:paraId="601A5038" w14:textId="0FFE07CA" w:rsidR="002457E3" w:rsidRDefault="002457E3" w:rsidP="00227125">
      <w:r>
        <w:t>Die Digitalisierung schafft neue Möglichkeiten der Integration kleinteiliger erneuerbarer Energien und flexibler Verbraucher in das Energiesystem</w:t>
      </w:r>
      <w:r w:rsidR="00A00F8F">
        <w:t xml:space="preserve"> [1]</w:t>
      </w:r>
      <w:r>
        <w:t xml:space="preserve">. </w:t>
      </w:r>
      <w:r w:rsidR="00046811">
        <w:t>I</w:t>
      </w:r>
      <w:r w:rsidR="00D837D8">
        <w:t xml:space="preserve">nsbesondere vor dem Hintergrund der auslaufenden EEG-Förderung für erneuerbare Energien </w:t>
      </w:r>
      <w:r w:rsidR="00F17C5A">
        <w:t xml:space="preserve">ist </w:t>
      </w:r>
      <w:r w:rsidR="00D837D8">
        <w:t xml:space="preserve">eine Kernfrage, </w:t>
      </w:r>
      <w:r w:rsidR="00F17C5A">
        <w:t>wie</w:t>
      </w:r>
      <w:r w:rsidR="00D837D8">
        <w:t xml:space="preserve"> deren Weiterbetrieb wirtschaftlich zu gewährleisten</w:t>
      </w:r>
      <w:r w:rsidR="00F17C5A">
        <w:t xml:space="preserve"> ist</w:t>
      </w:r>
      <w:r w:rsidR="00D837D8">
        <w:t>. Eine Möglichkeit sind sogenannte Peer-to-Peer (P2P) Energiegemeinschaften. Ein Kernbestandteil dieser Gemeinschaften ist ein Preismechanismus, der einerseits Erzeugung und Verbrauch von Energie innerhalb der Gemeinschaft, andererseits Börsenstrompreise etc. berücksichtigt. Die nachfolgenden Forschungsfragen werden beantwortet:</w:t>
      </w:r>
    </w:p>
    <w:p w14:paraId="07A23894" w14:textId="5207889A" w:rsidR="00D837D8" w:rsidRDefault="00D837D8" w:rsidP="00D837D8">
      <w:pPr>
        <w:numPr>
          <w:ilvl w:val="0"/>
          <w:numId w:val="3"/>
        </w:numPr>
      </w:pPr>
      <w:r>
        <w:t>Was sind P2P-Energiegemeinschaften und wie sind diese definiert?</w:t>
      </w:r>
    </w:p>
    <w:p w14:paraId="3D9F6C72" w14:textId="262DB4FA" w:rsidR="006F2B0A" w:rsidRDefault="00D837D8" w:rsidP="00D837D8">
      <w:pPr>
        <w:numPr>
          <w:ilvl w:val="0"/>
          <w:numId w:val="3"/>
        </w:numPr>
      </w:pPr>
      <w:r>
        <w:t>Welche Preismechanismen gibt es</w:t>
      </w:r>
      <w:r w:rsidRPr="00D837D8">
        <w:t xml:space="preserve"> </w:t>
      </w:r>
      <w:r>
        <w:t>und wie kann man sie vergleichen?</w:t>
      </w:r>
    </w:p>
    <w:p w14:paraId="4B97E592" w14:textId="176E7581" w:rsidR="00795251" w:rsidRPr="00795251" w:rsidRDefault="00D837D8" w:rsidP="00795251">
      <w:pPr>
        <w:numPr>
          <w:ilvl w:val="0"/>
          <w:numId w:val="3"/>
        </w:numPr>
      </w:pPr>
      <w:r>
        <w:t>Wie lassen sich P2P-Energiegemeinschaften simulieren?</w:t>
      </w:r>
    </w:p>
    <w:p w14:paraId="42D9EFD7" w14:textId="6CA71342" w:rsidR="00941AF8" w:rsidRDefault="00941AF8" w:rsidP="00D837D8">
      <w:pPr>
        <w:numPr>
          <w:ilvl w:val="0"/>
          <w:numId w:val="3"/>
        </w:numPr>
      </w:pPr>
      <w:r>
        <w:t>Welche Effekt</w:t>
      </w:r>
      <w:r w:rsidR="005F71B6">
        <w:t>e</w:t>
      </w:r>
      <w:r>
        <w:t xml:space="preserve"> ha</w:t>
      </w:r>
      <w:r w:rsidR="00BE64FE">
        <w:t xml:space="preserve">t der Einsatz von </w:t>
      </w:r>
      <w:r w:rsidR="006F03AF">
        <w:t>flexiblen</w:t>
      </w:r>
      <w:r w:rsidR="00BE64FE">
        <w:t xml:space="preserve"> Speichern?</w:t>
      </w:r>
    </w:p>
    <w:p w14:paraId="768CC5C9" w14:textId="77777777" w:rsidR="005E4D4F" w:rsidRPr="005E4D4F" w:rsidRDefault="005E4D4F" w:rsidP="005E4D4F">
      <w:pPr>
        <w:pStyle w:val="Ueberschrift"/>
      </w:pPr>
      <w:r w:rsidRPr="005E4D4F">
        <w:t>Methodische Vorgangsweise</w:t>
      </w:r>
    </w:p>
    <w:p w14:paraId="79A9EC54" w14:textId="717532D8" w:rsidR="00D837D8" w:rsidRDefault="00D837D8" w:rsidP="00227125">
      <w:r>
        <w:t>Mittels einer Literaturanalyse werden Definition von P2P-Energiegemeinschaften verglichen und relevante Beschreibungskriterien abgeleitet</w:t>
      </w:r>
      <w:r w:rsidR="00012F23">
        <w:t xml:space="preserve"> [</w:t>
      </w:r>
      <w:r w:rsidR="00A00F8F">
        <w:t>2,3,4</w:t>
      </w:r>
      <w:r w:rsidR="00012F23">
        <w:t>]</w:t>
      </w:r>
      <w:r>
        <w:t>. Zudem werden in der Literatur beschriebene Preismechanismen gesammelt und beschrieben</w:t>
      </w:r>
      <w:r w:rsidR="003F272E">
        <w:t xml:space="preserve"> [</w:t>
      </w:r>
      <w:r w:rsidR="0024122C">
        <w:t>2,5,6</w:t>
      </w:r>
      <w:r w:rsidR="0093157C">
        <w:t>]</w:t>
      </w:r>
      <w:r>
        <w:t xml:space="preserve">. </w:t>
      </w:r>
    </w:p>
    <w:p w14:paraId="519F524C" w14:textId="712F6139" w:rsidR="00D837D8" w:rsidRDefault="00D837D8" w:rsidP="00227125">
      <w:r>
        <w:t>Für die Simulation wird ein Python-Framework erstellt, um u. a. Preismechanismen i</w:t>
      </w:r>
      <w:r w:rsidR="00703DC4">
        <w:t>n</w:t>
      </w:r>
      <w:r w:rsidR="00EA1714">
        <w:t xml:space="preserve"> </w:t>
      </w:r>
      <w:r>
        <w:t>P2P-Energiegemeinschaften auf Gemeindeebene zu simulieren und methodisch zu vergleichen. Dafür werden relevante Eingangsdaten (u. a. individuelle Haushaltslastgänge, EE-Erzeugung etc.) mittels statistischer Methoden berechnet und die Preismechanismen integriert. Zudem werden mittels linearer Optimierung verschiedene Speichersysteme integriert, um deren Auswirkungen auf die Preismechanismen evaluieren zu können.</w:t>
      </w:r>
    </w:p>
    <w:p w14:paraId="5A464F6D" w14:textId="37028E03" w:rsidR="005E4D4F" w:rsidRDefault="00D837D8" w:rsidP="00227125">
      <w:r>
        <w:t xml:space="preserve">Der Vergleich der Ergebnisse </w:t>
      </w:r>
      <w:r w:rsidR="008433C4">
        <w:t>e</w:t>
      </w:r>
      <w:r w:rsidR="007A71DC">
        <w:t>rfolgt mittels Evaluationsindi</w:t>
      </w:r>
      <w:r w:rsidR="00EC3D02">
        <w:t>z</w:t>
      </w:r>
      <w:r w:rsidR="007A71DC">
        <w:t>es, die ökonomische, ökologische und energiewirtschaftliche Aspekte abdecken.</w:t>
      </w:r>
      <w:r w:rsidR="008433C4">
        <w:t xml:space="preserve"> Diese umfassen:</w:t>
      </w:r>
    </w:p>
    <w:p w14:paraId="04D6496A" w14:textId="44D5F0EB" w:rsidR="008433C4" w:rsidRDefault="00624895" w:rsidP="008433C4">
      <w:pPr>
        <w:numPr>
          <w:ilvl w:val="0"/>
          <w:numId w:val="3"/>
        </w:numPr>
      </w:pPr>
      <w:r>
        <w:t>Strom</w:t>
      </w:r>
      <w:r w:rsidR="008D6AE7">
        <w:t xml:space="preserve">kosten </w:t>
      </w:r>
      <w:r>
        <w:t>der P2P Energiegemeinschaft</w:t>
      </w:r>
    </w:p>
    <w:p w14:paraId="511621A8" w14:textId="2C0912AA" w:rsidR="008433C4" w:rsidRDefault="00624895" w:rsidP="008433C4">
      <w:pPr>
        <w:numPr>
          <w:ilvl w:val="0"/>
          <w:numId w:val="3"/>
        </w:numPr>
      </w:pPr>
      <w:r>
        <w:t>Stromkosten der verschiedenen Peer-Gruppen (d. h. Verbraucher, Prosumer, Flexumer)</w:t>
      </w:r>
    </w:p>
    <w:p w14:paraId="3F130C1E" w14:textId="4D4EBA26" w:rsidR="008433C4" w:rsidRDefault="00624895" w:rsidP="008433C4">
      <w:pPr>
        <w:numPr>
          <w:ilvl w:val="0"/>
          <w:numId w:val="3"/>
        </w:numPr>
      </w:pPr>
      <w:r>
        <w:t>Eigenverbrauchsquote und Selbstversorgungsrate</w:t>
      </w:r>
      <w:r w:rsidR="002B687C">
        <w:t xml:space="preserve"> der P2P</w:t>
      </w:r>
      <w:r w:rsidR="00761D04">
        <w:t>-</w:t>
      </w:r>
      <w:r w:rsidR="002B687C">
        <w:t>Energiegemeinschaft</w:t>
      </w:r>
    </w:p>
    <w:p w14:paraId="03DAA2BB" w14:textId="5110BA8E" w:rsidR="008433C4" w:rsidRDefault="00E842E0" w:rsidP="00227125">
      <w:r>
        <w:t>Es</w:t>
      </w:r>
      <w:r w:rsidR="008433C4">
        <w:t xml:space="preserve"> erfolgt eine Analyse</w:t>
      </w:r>
      <w:r>
        <w:t xml:space="preserve"> vier verschiedener Szenarien</w:t>
      </w:r>
      <w:r w:rsidR="008433C4">
        <w:t xml:space="preserve">, welche </w:t>
      </w:r>
      <w:r>
        <w:t xml:space="preserve">die </w:t>
      </w:r>
      <w:r w:rsidR="008433C4">
        <w:t xml:space="preserve">Auswirkungen </w:t>
      </w:r>
      <w:r w:rsidR="007535A6">
        <w:t xml:space="preserve">der unterschiedlichen </w:t>
      </w:r>
      <w:r w:rsidR="00F42FAC">
        <w:t xml:space="preserve">Verwendung </w:t>
      </w:r>
      <w:r w:rsidR="00615375">
        <w:t>von</w:t>
      </w:r>
      <w:r w:rsidR="008433C4">
        <w:t xml:space="preserve"> </w:t>
      </w:r>
      <w:r w:rsidR="00AD7B4A">
        <w:t>Batteriespeichern</w:t>
      </w:r>
      <w:r w:rsidR="008433C4">
        <w:t xml:space="preserve"> </w:t>
      </w:r>
      <w:r w:rsidR="003C0DD4">
        <w:t>innerhalb der P2P</w:t>
      </w:r>
      <w:r w:rsidR="00761D04">
        <w:t>-</w:t>
      </w:r>
      <w:r w:rsidR="003C0DD4">
        <w:t xml:space="preserve">Energiegemeinschaft </w:t>
      </w:r>
      <w:r w:rsidR="008433C4">
        <w:t>auf die</w:t>
      </w:r>
      <w:r w:rsidR="00F42FAC">
        <w:t xml:space="preserve"> </w:t>
      </w:r>
      <w:r w:rsidR="003E541B">
        <w:t xml:space="preserve">o. g. </w:t>
      </w:r>
      <w:r w:rsidR="00F42FAC">
        <w:t>Bewertungsmetriken haben</w:t>
      </w:r>
      <w:r w:rsidR="008433C4">
        <w:t>.</w:t>
      </w:r>
      <w:r w:rsidR="00F42FAC">
        <w:t xml:space="preserve"> D</w:t>
      </w:r>
      <w:r w:rsidR="003C0DD4">
        <w:t>ie folgenden vier</w:t>
      </w:r>
      <w:r w:rsidR="00F42FAC">
        <w:t xml:space="preserve"> Szenarien</w:t>
      </w:r>
      <w:r w:rsidR="00A40255">
        <w:t xml:space="preserve"> </w:t>
      </w:r>
      <w:r w:rsidR="003C0DD4">
        <w:t xml:space="preserve">werden </w:t>
      </w:r>
      <w:r w:rsidR="00E62515">
        <w:t xml:space="preserve">anhand </w:t>
      </w:r>
      <w:r w:rsidR="00E55001">
        <w:t xml:space="preserve">repräsentativer Typgemeinden </w:t>
      </w:r>
      <w:r w:rsidR="003C0DD4">
        <w:t>betrachtet</w:t>
      </w:r>
      <w:r w:rsidR="00A40255">
        <w:t>:</w:t>
      </w:r>
    </w:p>
    <w:p w14:paraId="0AF1A186" w14:textId="714F536C" w:rsidR="00A40255" w:rsidRDefault="00A637DC" w:rsidP="009F35A6">
      <w:pPr>
        <w:pStyle w:val="Listenabsatz"/>
        <w:numPr>
          <w:ilvl w:val="0"/>
          <w:numId w:val="10"/>
        </w:numPr>
      </w:pPr>
      <w:r>
        <w:t>k</w:t>
      </w:r>
      <w:r w:rsidR="00A40255">
        <w:t xml:space="preserve">ein Einsatz von </w:t>
      </w:r>
      <w:r w:rsidR="00AD7B4A">
        <w:t xml:space="preserve">Batteriespeichern </w:t>
      </w:r>
      <w:r w:rsidR="00DB66B0">
        <w:t>(Referenzszenario)</w:t>
      </w:r>
    </w:p>
    <w:p w14:paraId="7800F236" w14:textId="3F016FD8" w:rsidR="003C1D16" w:rsidRDefault="00A637DC" w:rsidP="009F35A6">
      <w:pPr>
        <w:pStyle w:val="Listenabsatz"/>
        <w:numPr>
          <w:ilvl w:val="0"/>
          <w:numId w:val="10"/>
        </w:numPr>
      </w:pPr>
      <w:r>
        <w:t>n</w:t>
      </w:r>
      <w:r w:rsidR="009F410D">
        <w:t xml:space="preserve">icht-optimierter Einsatz von </w:t>
      </w:r>
      <w:r w:rsidR="00AD7B4A">
        <w:t>Batteriespeichern</w:t>
      </w:r>
    </w:p>
    <w:p w14:paraId="0D6EEF25" w14:textId="09CC3D28" w:rsidR="003E541B" w:rsidRDefault="00A637DC" w:rsidP="009F35A6">
      <w:pPr>
        <w:pStyle w:val="Listenabsatz"/>
        <w:numPr>
          <w:ilvl w:val="0"/>
          <w:numId w:val="10"/>
        </w:numPr>
      </w:pPr>
      <w:r>
        <w:t>i</w:t>
      </w:r>
      <w:r w:rsidR="00C1698E">
        <w:t>ndividuell o</w:t>
      </w:r>
      <w:r w:rsidR="003E541B">
        <w:t xml:space="preserve">ptimierter Einsatz von </w:t>
      </w:r>
      <w:r w:rsidR="00AD7B4A">
        <w:t>Batteriespeichern</w:t>
      </w:r>
    </w:p>
    <w:p w14:paraId="21E285A6" w14:textId="378B6C2A" w:rsidR="003C0DD4" w:rsidRDefault="00A637DC" w:rsidP="009F35A6">
      <w:pPr>
        <w:pStyle w:val="Listenabsatz"/>
        <w:numPr>
          <w:ilvl w:val="0"/>
          <w:numId w:val="10"/>
        </w:numPr>
      </w:pPr>
      <w:r>
        <w:t>g</w:t>
      </w:r>
      <w:r w:rsidR="003C0DD4">
        <w:t xml:space="preserve">emeinschaftlich optimierter Einsatz von </w:t>
      </w:r>
      <w:r w:rsidR="00AD7B4A">
        <w:t>Batteriespeichern</w:t>
      </w:r>
    </w:p>
    <w:p w14:paraId="5661E642" w14:textId="77777777" w:rsidR="005E4D4F" w:rsidRPr="005E4D4F" w:rsidRDefault="005E4D4F" w:rsidP="005E4D4F">
      <w:pPr>
        <w:pStyle w:val="Ueberschrift"/>
      </w:pPr>
      <w:r w:rsidRPr="005E4D4F">
        <w:t>Ergebnisse und Schlussfolgerungen</w:t>
      </w:r>
    </w:p>
    <w:p w14:paraId="0B657090" w14:textId="13347AAA" w:rsidR="00512A3B" w:rsidRDefault="00044322" w:rsidP="0058399D">
      <w:r>
        <w:t>Basierend auf</w:t>
      </w:r>
      <w:r w:rsidR="00761D04">
        <w:t xml:space="preserve"> b</w:t>
      </w:r>
      <w:r w:rsidR="00163C61">
        <w:t>estehende</w:t>
      </w:r>
      <w:r w:rsidR="00BF3648">
        <w:t>n</w:t>
      </w:r>
      <w:r w:rsidR="00163C61">
        <w:t xml:space="preserve"> Definitionen </w:t>
      </w:r>
      <w:r w:rsidR="00012F23">
        <w:t>aus</w:t>
      </w:r>
      <w:r w:rsidR="00D32A34">
        <w:t xml:space="preserve"> der Literatur</w:t>
      </w:r>
      <w:r w:rsidR="00DF345E">
        <w:t xml:space="preserve"> </w:t>
      </w:r>
      <w:r w:rsidR="00367FC7">
        <w:t>wurde eine neue Definition von P2P Energy Sharing</w:t>
      </w:r>
      <w:r w:rsidR="006C0929">
        <w:t xml:space="preserve"> </w:t>
      </w:r>
      <w:r w:rsidR="008E6864">
        <w:t xml:space="preserve">Communities </w:t>
      </w:r>
      <w:r w:rsidR="004C6A54">
        <w:t>aufgestellt</w:t>
      </w:r>
      <w:r w:rsidR="008E6864">
        <w:t xml:space="preserve">. </w:t>
      </w:r>
      <w:r w:rsidR="00A9302E">
        <w:t xml:space="preserve">Diese </w:t>
      </w:r>
      <w:r w:rsidR="001C002E">
        <w:t xml:space="preserve">definiert P2P Energy Sharing als </w:t>
      </w:r>
      <w:r w:rsidR="00BF4D23">
        <w:t xml:space="preserve">den Austausch überschüssiger Energie unter </w:t>
      </w:r>
      <w:r w:rsidR="00BD5856">
        <w:t>Peers</w:t>
      </w:r>
      <w:r w:rsidR="00403CB4">
        <w:t xml:space="preserve"> </w:t>
      </w:r>
      <w:r w:rsidR="00403CB4">
        <w:t>(engl. ebenbürtig)</w:t>
      </w:r>
      <w:r w:rsidR="0024556A">
        <w:t>, um eines oder mehrere gemeinschaftliche Ziele</w:t>
      </w:r>
      <w:r w:rsidR="00151575">
        <w:t xml:space="preserve"> </w:t>
      </w:r>
      <w:r w:rsidR="004E3DA1">
        <w:t xml:space="preserve">zu verfolgen. Diese Ziele können zum Beispiel </w:t>
      </w:r>
      <w:r w:rsidR="00151575">
        <w:t xml:space="preserve">ökonomischer, technischer oder </w:t>
      </w:r>
      <w:r w:rsidR="005452B8">
        <w:t>ökol</w:t>
      </w:r>
      <w:r w:rsidR="00AD7B4A">
        <w:t>o</w:t>
      </w:r>
      <w:r w:rsidR="005452B8">
        <w:t>gischer</w:t>
      </w:r>
      <w:r w:rsidR="00151575">
        <w:t xml:space="preserve"> Natur</w:t>
      </w:r>
      <w:r w:rsidR="004E3DA1">
        <w:t xml:space="preserve"> sein.</w:t>
      </w:r>
      <w:r w:rsidR="00151575">
        <w:t xml:space="preserve"> </w:t>
      </w:r>
      <w:r w:rsidR="004E3DA1">
        <w:t>D</w:t>
      </w:r>
      <w:r w:rsidR="007B438B">
        <w:t xml:space="preserve">er Begriff </w:t>
      </w:r>
      <w:r w:rsidR="00BD5856">
        <w:t>Peer</w:t>
      </w:r>
      <w:r w:rsidR="004E3DA1">
        <w:t xml:space="preserve"> bezeichnet dabei</w:t>
      </w:r>
      <w:r w:rsidR="00BD5856">
        <w:t xml:space="preserve"> </w:t>
      </w:r>
      <w:r w:rsidR="00C03471">
        <w:t xml:space="preserve">Akteure derselben Hierarchieebene </w:t>
      </w:r>
      <w:r w:rsidR="00333D1B">
        <w:t xml:space="preserve">im Energiesystem, also </w:t>
      </w:r>
      <w:r w:rsidR="00BD5856">
        <w:t>Verbraucher, Prosumer</w:t>
      </w:r>
      <w:r w:rsidR="007B438B">
        <w:t xml:space="preserve"> </w:t>
      </w:r>
      <w:r w:rsidR="00BD5856">
        <w:t>oder Flexumer</w:t>
      </w:r>
      <w:r w:rsidR="007B438B">
        <w:t xml:space="preserve"> bzw. eine Gruppe da</w:t>
      </w:r>
      <w:r w:rsidR="00513C01">
        <w:t>von.</w:t>
      </w:r>
      <w:r w:rsidR="0091033F">
        <w:t xml:space="preserve"> Beim P2P Energy Sharing steht </w:t>
      </w:r>
      <w:r w:rsidR="003B6526">
        <w:t>dabei das übergeordnete</w:t>
      </w:r>
      <w:r w:rsidR="007B438B">
        <w:t xml:space="preserve"> </w:t>
      </w:r>
      <w:r w:rsidR="003B6526">
        <w:t xml:space="preserve">Ziel der Gemeinschaft im Vordergrund, wohingegen </w:t>
      </w:r>
      <w:r w:rsidR="00FB63FB">
        <w:t xml:space="preserve">der Energiehandel zwischen Peers </w:t>
      </w:r>
      <w:r w:rsidR="00512A3B">
        <w:t>zu</w:t>
      </w:r>
      <w:r w:rsidR="003763F2">
        <w:t xml:space="preserve">r individuellen Profitmaximierung </w:t>
      </w:r>
      <w:r w:rsidR="00512A3B">
        <w:t xml:space="preserve">als </w:t>
      </w:r>
      <w:r w:rsidR="003B6526">
        <w:t xml:space="preserve">P2P Energy Trading </w:t>
      </w:r>
      <w:r w:rsidR="00512A3B">
        <w:t>bezeichnet wird.</w:t>
      </w:r>
    </w:p>
    <w:p w14:paraId="7BE23454" w14:textId="56924EF7" w:rsidR="00512A3B" w:rsidRDefault="003F5F32" w:rsidP="0058399D">
      <w:r>
        <w:t xml:space="preserve">Im Rahmen der </w:t>
      </w:r>
      <w:r w:rsidR="008468B1">
        <w:t xml:space="preserve">Untersuchung wurden drei unterschiedliche Preisbildungsmechanismen </w:t>
      </w:r>
      <w:r w:rsidR="005407CE">
        <w:t>verglichen und</w:t>
      </w:r>
      <w:r>
        <w:t xml:space="preserve"> </w:t>
      </w:r>
      <w:r w:rsidR="00DC6273">
        <w:t xml:space="preserve">vier verschiedene </w:t>
      </w:r>
      <w:r w:rsidR="005407CE">
        <w:t>Einsatzs</w:t>
      </w:r>
      <w:r w:rsidR="00DC6273">
        <w:t xml:space="preserve">zenarien </w:t>
      </w:r>
      <w:r w:rsidR="005407CE">
        <w:t xml:space="preserve">von </w:t>
      </w:r>
      <w:r w:rsidR="00AD7B4A">
        <w:t xml:space="preserve">Batteriespeichern </w:t>
      </w:r>
      <w:r w:rsidR="00FB17FE">
        <w:t>simuliert. D</w:t>
      </w:r>
      <w:r w:rsidR="00AA5D73">
        <w:t>ie Simulationserg</w:t>
      </w:r>
      <w:r w:rsidR="00C97D3D">
        <w:t>e</w:t>
      </w:r>
      <w:r w:rsidR="00AA5D73">
        <w:t xml:space="preserve">bnisse </w:t>
      </w:r>
      <w:r w:rsidR="00C97D3D">
        <w:t>zeigen, dass</w:t>
      </w:r>
      <w:r w:rsidR="0048592C">
        <w:t xml:space="preserve"> </w:t>
      </w:r>
      <w:r w:rsidR="00A460E1">
        <w:t xml:space="preserve">die Stromkosten </w:t>
      </w:r>
      <w:r w:rsidR="004A69CD">
        <w:t xml:space="preserve">durch </w:t>
      </w:r>
      <w:r w:rsidR="00B06393">
        <w:t>d</w:t>
      </w:r>
      <w:r w:rsidR="0021594F">
        <w:t xml:space="preserve">en unterschiedlichen Einsatz von </w:t>
      </w:r>
      <w:r w:rsidR="00AD7B4A">
        <w:t xml:space="preserve">Batteriespeichern </w:t>
      </w:r>
      <w:r w:rsidR="0021594F">
        <w:t>innerhalb von P2P-</w:t>
      </w:r>
      <w:r w:rsidR="0021594F">
        <w:lastRenderedPageBreak/>
        <w:t xml:space="preserve">Energiegemeinschaften unterschiedlich </w:t>
      </w:r>
      <w:r w:rsidR="00A460E1">
        <w:t xml:space="preserve">stark </w:t>
      </w:r>
      <w:r w:rsidR="000F72B5">
        <w:t>gesenkt werden können</w:t>
      </w:r>
      <w:r w:rsidR="00A25DCB">
        <w:t xml:space="preserve"> (Abbildung 1)</w:t>
      </w:r>
      <w:r w:rsidR="00DB66B0">
        <w:t xml:space="preserve">. </w:t>
      </w:r>
      <w:r w:rsidR="00A25DCB">
        <w:t xml:space="preserve">Des Weiteren zeigt sich, dass </w:t>
      </w:r>
      <w:r w:rsidR="001260D8">
        <w:t>die verschiedenen Peer-Gruppen in Abhängigkeit des</w:t>
      </w:r>
      <w:r w:rsidR="00C07591">
        <w:t xml:space="preserve"> </w:t>
      </w:r>
      <w:r w:rsidR="0017633A">
        <w:t xml:space="preserve">verwendeten </w:t>
      </w:r>
      <w:r w:rsidR="00C07591">
        <w:t>Preisbildungsmechanism</w:t>
      </w:r>
      <w:r w:rsidR="001260D8">
        <w:t xml:space="preserve">us unterschiedlich stark </w:t>
      </w:r>
      <w:r w:rsidR="0017633A">
        <w:t xml:space="preserve">profitieren. Die </w:t>
      </w:r>
      <w:r w:rsidR="00B644FF">
        <w:t>sich ergebenden Preise der unterschiedlichen Mechanismen</w:t>
      </w:r>
      <w:r w:rsidR="0017633A">
        <w:t xml:space="preserve"> </w:t>
      </w:r>
      <w:r w:rsidR="00B644FF">
        <w:t xml:space="preserve">in Abhängigkeit </w:t>
      </w:r>
      <w:r w:rsidR="0036747E">
        <w:t xml:space="preserve">der exogenen Strukturparameter der P2P-Energiegemeinschaften </w:t>
      </w:r>
      <w:r w:rsidR="00570A0F">
        <w:t>können bei der</w:t>
      </w:r>
      <w:r w:rsidR="00222667">
        <w:t xml:space="preserve"> gezielten</w:t>
      </w:r>
      <w:r w:rsidR="00570A0F">
        <w:t xml:space="preserve"> </w:t>
      </w:r>
      <w:r w:rsidR="009573A5">
        <w:t xml:space="preserve">Auswahl </w:t>
      </w:r>
      <w:r w:rsidR="00570A0F">
        <w:t xml:space="preserve">von Markdesigns </w:t>
      </w:r>
      <w:r w:rsidR="002809C4">
        <w:t xml:space="preserve">in der Praxis </w:t>
      </w:r>
      <w:r w:rsidR="002E5534">
        <w:t>verwendet werden.</w:t>
      </w:r>
    </w:p>
    <w:p w14:paraId="2ADE3EC0" w14:textId="77777777" w:rsidR="006022B2" w:rsidRDefault="006022B2" w:rsidP="0058399D"/>
    <w:p w14:paraId="09822222" w14:textId="77777777" w:rsidR="00803917" w:rsidRDefault="00372E07" w:rsidP="00227125">
      <w:r w:rsidRPr="00803917">
        <w:rPr>
          <w:noProof/>
          <w:lang w:eastAsia="de-DE"/>
        </w:rPr>
        <w:drawing>
          <wp:inline distT="0" distB="0" distL="0" distR="0" wp14:anchorId="0674362B" wp14:editId="119D70D7">
            <wp:extent cx="5177190" cy="2834659"/>
            <wp:effectExtent l="0" t="0" r="4445" b="381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190" cy="283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423F4" w14:textId="0563AEC0" w:rsidR="00803917" w:rsidRPr="002946B8" w:rsidRDefault="00803917" w:rsidP="00D53E86">
      <w:pPr>
        <w:pStyle w:val="Abbildungsbeschriftung"/>
      </w:pPr>
      <w:r w:rsidRPr="002946B8">
        <w:t xml:space="preserve">Abbildung 1: </w:t>
      </w:r>
      <w:r w:rsidR="00B02F2D">
        <w:t xml:space="preserve">Vergleich </w:t>
      </w:r>
      <w:r w:rsidR="00861B1E">
        <w:t xml:space="preserve">der </w:t>
      </w:r>
      <w:r w:rsidR="00AD7B4A">
        <w:t>Kostenersparnis verschiedener Einsatzszenarien von Batteriespeichern in einer Beispielgemeinde</w:t>
      </w:r>
      <w:r w:rsidR="00861B1E">
        <w:t>.</w:t>
      </w:r>
    </w:p>
    <w:p w14:paraId="7CC42AEB" w14:textId="77777777" w:rsidR="002946B8" w:rsidRPr="00803917" w:rsidRDefault="002946B8" w:rsidP="00227125"/>
    <w:p w14:paraId="0CAF6D10" w14:textId="77777777" w:rsidR="005E4D4F" w:rsidRPr="005E4D4F" w:rsidRDefault="005E4D4F" w:rsidP="00A156E4">
      <w:pPr>
        <w:pStyle w:val="Ueberschrift"/>
      </w:pPr>
      <w:bookmarkStart w:id="0" w:name="_Toc26086066"/>
      <w:bookmarkStart w:id="1" w:name="_Toc68418491"/>
      <w:r w:rsidRPr="005E4D4F">
        <w:t>Literatur</w:t>
      </w:r>
      <w:bookmarkEnd w:id="0"/>
      <w:bookmarkEnd w:id="1"/>
    </w:p>
    <w:p w14:paraId="1B224CDB" w14:textId="33936866" w:rsidR="00855A30" w:rsidRPr="00DB7CD9" w:rsidRDefault="00855A30" w:rsidP="00855A30">
      <w:pPr>
        <w:pStyle w:val="Literatur"/>
      </w:pPr>
      <w:r w:rsidRPr="00E06A13">
        <w:t>[1]</w:t>
      </w:r>
      <w:r w:rsidRPr="00E06A13">
        <w:tab/>
        <w:t>Agora Energiewende</w:t>
      </w:r>
      <w:r w:rsidR="00A00F8F">
        <w:t xml:space="preserve"> (2017):</w:t>
      </w:r>
      <w:r w:rsidR="00E06A13" w:rsidRPr="00E06A13">
        <w:t xml:space="preserve"> Energiewende und Dezentralität. </w:t>
      </w:r>
      <w:r w:rsidR="00E06A13">
        <w:t>Zu den Grundlagen einer politisierten Debatte</w:t>
      </w:r>
    </w:p>
    <w:p w14:paraId="40F7C3AC" w14:textId="1E08914E" w:rsidR="005E4D4F" w:rsidRPr="006B3BF6" w:rsidRDefault="00483B87" w:rsidP="00227125">
      <w:pPr>
        <w:pStyle w:val="Literatur"/>
        <w:rPr>
          <w:lang w:val="en-US"/>
        </w:rPr>
      </w:pPr>
      <w:r w:rsidRPr="006F7A06">
        <w:rPr>
          <w:lang w:val="it-IT"/>
        </w:rPr>
        <w:t>[</w:t>
      </w:r>
      <w:r w:rsidR="0024122C" w:rsidRPr="006F7A06">
        <w:rPr>
          <w:lang w:val="it-IT"/>
        </w:rPr>
        <w:t>2</w:t>
      </w:r>
      <w:r w:rsidRPr="006F7A06">
        <w:rPr>
          <w:lang w:val="it-IT"/>
        </w:rPr>
        <w:t>]</w:t>
      </w:r>
      <w:r w:rsidRPr="006F7A06">
        <w:rPr>
          <w:lang w:val="it-IT"/>
        </w:rPr>
        <w:tab/>
      </w:r>
      <w:r w:rsidR="005B6170" w:rsidRPr="006F7A06">
        <w:rPr>
          <w:lang w:val="it-IT"/>
        </w:rPr>
        <w:t xml:space="preserve">Liu, N., </w:t>
      </w:r>
      <w:proofErr w:type="spellStart"/>
      <w:r w:rsidR="005B6170" w:rsidRPr="006F7A06">
        <w:rPr>
          <w:lang w:val="it-IT"/>
        </w:rPr>
        <w:t>Yu</w:t>
      </w:r>
      <w:proofErr w:type="spellEnd"/>
      <w:r w:rsidR="005B6170" w:rsidRPr="006F7A06">
        <w:rPr>
          <w:lang w:val="it-IT"/>
        </w:rPr>
        <w:t xml:space="preserve">, X., Wang, C., Li, C., Ma, L., &amp; Lei, J. (2017). </w:t>
      </w:r>
      <w:r w:rsidR="005B6170" w:rsidRPr="005B6170">
        <w:rPr>
          <w:lang w:val="en-US"/>
        </w:rPr>
        <w:t xml:space="preserve">Energy-sharing model with price-based demand response for microgrids of peer-to-peer prosumers. </w:t>
      </w:r>
      <w:r w:rsidR="005B6170" w:rsidRPr="003D7BE7">
        <w:rPr>
          <w:lang w:val="en-US"/>
        </w:rPr>
        <w:t>IEEE Transactions on Power Systems, 32(5), 3569-3583.</w:t>
      </w:r>
    </w:p>
    <w:p w14:paraId="7C1A748C" w14:textId="2A835616" w:rsidR="00010E92" w:rsidRPr="00797148" w:rsidRDefault="00483B87" w:rsidP="00227125">
      <w:pPr>
        <w:pStyle w:val="Literatur"/>
        <w:rPr>
          <w:lang w:val="en-US"/>
        </w:rPr>
      </w:pPr>
      <w:r w:rsidRPr="006B3BF6">
        <w:rPr>
          <w:lang w:val="en-US"/>
        </w:rPr>
        <w:t>[</w:t>
      </w:r>
      <w:r w:rsidR="0024122C">
        <w:rPr>
          <w:lang w:val="en-US"/>
        </w:rPr>
        <w:t>3</w:t>
      </w:r>
      <w:r w:rsidRPr="006B3BF6">
        <w:rPr>
          <w:lang w:val="en-US"/>
        </w:rPr>
        <w:t>]</w:t>
      </w:r>
      <w:r w:rsidRPr="006B3BF6">
        <w:rPr>
          <w:lang w:val="en-US"/>
        </w:rPr>
        <w:tab/>
      </w:r>
      <w:r w:rsidR="003D7BE7" w:rsidRPr="003D7BE7">
        <w:rPr>
          <w:lang w:val="en-US"/>
        </w:rPr>
        <w:t>Long, C., Wu, J., Zhou, Y., &amp; Jenkins, N. (2018). Peer-to-peer energy sharing through a two-stage aggregated battery control in a community Microgrid. Applied energy, 226, 261-276.</w:t>
      </w:r>
    </w:p>
    <w:p w14:paraId="4A3CF4F8" w14:textId="55C323F5" w:rsidR="006B3BF6" w:rsidRPr="006B3BF6" w:rsidRDefault="006B3BF6" w:rsidP="006B3BF6">
      <w:pPr>
        <w:pStyle w:val="Literatur"/>
        <w:rPr>
          <w:lang w:val="en-US"/>
        </w:rPr>
      </w:pPr>
      <w:r w:rsidRPr="006B3BF6">
        <w:rPr>
          <w:lang w:val="en-US"/>
        </w:rPr>
        <w:t>[</w:t>
      </w:r>
      <w:r w:rsidR="0024122C">
        <w:rPr>
          <w:lang w:val="en-US"/>
        </w:rPr>
        <w:t>4</w:t>
      </w:r>
      <w:r w:rsidRPr="006B3BF6">
        <w:rPr>
          <w:lang w:val="en-US"/>
        </w:rPr>
        <w:t>]</w:t>
      </w:r>
      <w:r w:rsidRPr="006B3BF6">
        <w:rPr>
          <w:lang w:val="en-US"/>
        </w:rPr>
        <w:tab/>
      </w:r>
      <w:r w:rsidR="00797148" w:rsidRPr="00797148">
        <w:rPr>
          <w:lang w:val="en-US"/>
        </w:rPr>
        <w:t xml:space="preserve">Tushar, W., </w:t>
      </w:r>
      <w:proofErr w:type="spellStart"/>
      <w:r w:rsidR="00797148" w:rsidRPr="00797148">
        <w:rPr>
          <w:lang w:val="en-US"/>
        </w:rPr>
        <w:t>Saha</w:t>
      </w:r>
      <w:proofErr w:type="spellEnd"/>
      <w:r w:rsidR="00797148" w:rsidRPr="00797148">
        <w:rPr>
          <w:lang w:val="en-US"/>
        </w:rPr>
        <w:t>, T. K., Yuen, C., Liddell, P., Bean, R., &amp; Poor, H. V. (2018). Peer-to-peer energy trading with sustainable user participation: A game theoretic approach. IEEE Access, 6, 62932-62943.</w:t>
      </w:r>
    </w:p>
    <w:p w14:paraId="3CDEE3BE" w14:textId="5CC40DD2" w:rsidR="006B3BF6" w:rsidRPr="0093157C" w:rsidRDefault="006B3BF6" w:rsidP="006B3BF6">
      <w:pPr>
        <w:pStyle w:val="Literatur"/>
        <w:rPr>
          <w:lang w:val="en-US"/>
        </w:rPr>
      </w:pPr>
      <w:r w:rsidRPr="006B3BF6">
        <w:rPr>
          <w:lang w:val="en-US"/>
        </w:rPr>
        <w:t>[</w:t>
      </w:r>
      <w:r w:rsidR="0024122C">
        <w:rPr>
          <w:lang w:val="en-US"/>
        </w:rPr>
        <w:t>5</w:t>
      </w:r>
      <w:r w:rsidRPr="006B3BF6">
        <w:rPr>
          <w:lang w:val="en-US"/>
        </w:rPr>
        <w:t>]</w:t>
      </w:r>
      <w:r w:rsidRPr="006B3BF6">
        <w:rPr>
          <w:lang w:val="en-US"/>
        </w:rPr>
        <w:tab/>
      </w:r>
      <w:r w:rsidR="00B20CDC" w:rsidRPr="00B20CDC">
        <w:rPr>
          <w:lang w:val="en-US"/>
        </w:rPr>
        <w:t xml:space="preserve">Tushar, W., </w:t>
      </w:r>
      <w:proofErr w:type="spellStart"/>
      <w:r w:rsidR="00B20CDC" w:rsidRPr="00B20CDC">
        <w:rPr>
          <w:lang w:val="en-US"/>
        </w:rPr>
        <w:t>Saha</w:t>
      </w:r>
      <w:proofErr w:type="spellEnd"/>
      <w:r w:rsidR="00B20CDC" w:rsidRPr="00B20CDC">
        <w:rPr>
          <w:lang w:val="en-US"/>
        </w:rPr>
        <w:t xml:space="preserve">, T. K., Yuen, C., </w:t>
      </w:r>
      <w:proofErr w:type="spellStart"/>
      <w:r w:rsidR="00B20CDC" w:rsidRPr="00B20CDC">
        <w:rPr>
          <w:lang w:val="en-US"/>
        </w:rPr>
        <w:t>Morstyn</w:t>
      </w:r>
      <w:proofErr w:type="spellEnd"/>
      <w:r w:rsidR="00B20CDC" w:rsidRPr="00B20CDC">
        <w:rPr>
          <w:lang w:val="en-US"/>
        </w:rPr>
        <w:t>, T., McCulloch, M. D., Poor, H. V., &amp; Wood, K. L. (2019). A motivational game-theoretic approach for peer-to-peer energy trading in the smart grid. Applied energy, 243, 10-20.</w:t>
      </w:r>
    </w:p>
    <w:p w14:paraId="2CA27F32" w14:textId="546EA7B4" w:rsidR="006B3BF6" w:rsidRPr="00227125" w:rsidRDefault="006B3BF6" w:rsidP="006B3BF6">
      <w:pPr>
        <w:pStyle w:val="Literatur"/>
      </w:pPr>
      <w:r w:rsidRPr="006B3BF6">
        <w:rPr>
          <w:lang w:val="en-US"/>
        </w:rPr>
        <w:t>[</w:t>
      </w:r>
      <w:r w:rsidR="0024122C">
        <w:rPr>
          <w:lang w:val="en-US"/>
        </w:rPr>
        <w:t>6</w:t>
      </w:r>
      <w:r w:rsidRPr="006B3BF6">
        <w:rPr>
          <w:lang w:val="en-US"/>
        </w:rPr>
        <w:t>]</w:t>
      </w:r>
      <w:r w:rsidRPr="006B3BF6">
        <w:rPr>
          <w:lang w:val="en-US"/>
        </w:rPr>
        <w:tab/>
      </w:r>
      <w:r w:rsidR="0063376A" w:rsidRPr="0063376A">
        <w:rPr>
          <w:lang w:val="en-US"/>
        </w:rPr>
        <w:t>Zhou, Y., Wu, J., &amp; Long, C. (2018). Evaluation of peer-to-peer energy sharing mechanisms based on a multiagent simulation framework. Applied Energy, 222, 993-1022.</w:t>
      </w:r>
    </w:p>
    <w:p w14:paraId="21CF66AB" w14:textId="77777777" w:rsidR="006B3BF6" w:rsidRPr="00227125" w:rsidRDefault="006B3BF6" w:rsidP="00227125">
      <w:pPr>
        <w:pStyle w:val="Literatur"/>
      </w:pPr>
    </w:p>
    <w:p w14:paraId="1DF6219D" w14:textId="77777777" w:rsidR="005E4D4F" w:rsidRDefault="005E4D4F" w:rsidP="00227125">
      <w:pPr>
        <w:pStyle w:val="Literatur"/>
      </w:pPr>
    </w:p>
    <w:sectPr w:rsidR="005E4D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FC9BA" w14:textId="77777777" w:rsidR="00662525" w:rsidRDefault="00662525">
      <w:r>
        <w:separator/>
      </w:r>
    </w:p>
  </w:endnote>
  <w:endnote w:type="continuationSeparator" w:id="0">
    <w:p w14:paraId="6D0CF689" w14:textId="77777777" w:rsidR="00662525" w:rsidRDefault="00662525">
      <w:r>
        <w:continuationSeparator/>
      </w:r>
    </w:p>
  </w:endnote>
  <w:endnote w:type="continuationNotice" w:id="1">
    <w:p w14:paraId="27559FE6" w14:textId="77777777" w:rsidR="008A709E" w:rsidRDefault="008A70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64FAA" w14:textId="77777777" w:rsidR="00662525" w:rsidRDefault="00662525">
      <w:r>
        <w:separator/>
      </w:r>
    </w:p>
  </w:footnote>
  <w:footnote w:type="continuationSeparator" w:id="0">
    <w:p w14:paraId="2954E91E" w14:textId="77777777" w:rsidR="00662525" w:rsidRDefault="00662525">
      <w:r>
        <w:continuationSeparator/>
      </w:r>
    </w:p>
  </w:footnote>
  <w:footnote w:type="continuationNotice" w:id="1">
    <w:p w14:paraId="7BA0EB13" w14:textId="77777777" w:rsidR="008A709E" w:rsidRDefault="008A709E"/>
  </w:footnote>
  <w:footnote w:id="2">
    <w:p w14:paraId="1FA34494" w14:textId="46DAA52B" w:rsidR="00D53E86" w:rsidRPr="00FB69AE" w:rsidRDefault="00D53E86" w:rsidP="002014D3">
      <w:r w:rsidRPr="00A115D2">
        <w:rPr>
          <w:rStyle w:val="Funotenzeichen"/>
        </w:rPr>
        <w:footnoteRef/>
      </w:r>
      <w:r w:rsidRPr="00D53E86">
        <w:t xml:space="preserve"> </w:t>
      </w:r>
      <w:r w:rsidR="002457E3">
        <w:t>Am Blütenanger 71, 80995 München</w:t>
      </w:r>
      <w:r w:rsidR="00E520E6">
        <w:t xml:space="preserve">, </w:t>
      </w:r>
      <w:r w:rsidR="002457E3">
        <w:t>+49 (0)89 158121-38</w:t>
      </w:r>
      <w:r w:rsidR="00A6148D">
        <w:t>,</w:t>
      </w:r>
      <w:r w:rsidR="00FD5D56">
        <w:t xml:space="preserve"> </w:t>
      </w:r>
      <w:r w:rsidR="002457E3">
        <w:t>abogensperger@ffe.de</w:t>
      </w:r>
      <w:r>
        <w:t xml:space="preserve">, </w:t>
      </w:r>
      <w:r w:rsidR="002457E3">
        <w:t>www.ffe.de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071F"/>
    <w:multiLevelType w:val="multilevel"/>
    <w:tmpl w:val="0978BA90"/>
    <w:numStyleLink w:val="Aufzhlung"/>
  </w:abstractNum>
  <w:abstractNum w:abstractNumId="1" w15:restartNumberingAfterBreak="0">
    <w:nsid w:val="0D760D61"/>
    <w:multiLevelType w:val="hybridMultilevel"/>
    <w:tmpl w:val="8FB0C5B4"/>
    <w:lvl w:ilvl="0" w:tplc="948A0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A1CFF"/>
    <w:multiLevelType w:val="hybridMultilevel"/>
    <w:tmpl w:val="AA4E165A"/>
    <w:lvl w:ilvl="0" w:tplc="9B929B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67494"/>
    <w:multiLevelType w:val="hybridMultilevel"/>
    <w:tmpl w:val="0978BA90"/>
    <w:lvl w:ilvl="0" w:tplc="085E66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75967"/>
    <w:multiLevelType w:val="multilevel"/>
    <w:tmpl w:val="0978BA90"/>
    <w:numStyleLink w:val="Aufzhlung"/>
  </w:abstractNum>
  <w:abstractNum w:abstractNumId="5" w15:restartNumberingAfterBreak="0">
    <w:nsid w:val="56681B6C"/>
    <w:multiLevelType w:val="hybridMultilevel"/>
    <w:tmpl w:val="777A0264"/>
    <w:lvl w:ilvl="0" w:tplc="9B929B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35961"/>
    <w:multiLevelType w:val="hybridMultilevel"/>
    <w:tmpl w:val="461020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82885"/>
    <w:multiLevelType w:val="hybridMultilevel"/>
    <w:tmpl w:val="75F6E8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22F94"/>
    <w:multiLevelType w:val="hybridMultilevel"/>
    <w:tmpl w:val="DA462E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E4F19"/>
    <w:multiLevelType w:val="multilevel"/>
    <w:tmpl w:val="0978BA90"/>
    <w:styleLink w:val="Aufzhlung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K0MDM1NjEzMDQ2NDFX0lEKTi0uzszPAykwrAUAX6v8WSwAAAA="/>
  </w:docVars>
  <w:rsids>
    <w:rsidRoot w:val="005E4D4F"/>
    <w:rsid w:val="00005144"/>
    <w:rsid w:val="000068F9"/>
    <w:rsid w:val="00010E92"/>
    <w:rsid w:val="00012F23"/>
    <w:rsid w:val="00044322"/>
    <w:rsid w:val="00046811"/>
    <w:rsid w:val="00076F93"/>
    <w:rsid w:val="000867CD"/>
    <w:rsid w:val="000D5803"/>
    <w:rsid w:val="000F72B5"/>
    <w:rsid w:val="001260D8"/>
    <w:rsid w:val="00132C05"/>
    <w:rsid w:val="00151575"/>
    <w:rsid w:val="00153E9E"/>
    <w:rsid w:val="00154487"/>
    <w:rsid w:val="00163C61"/>
    <w:rsid w:val="0017633A"/>
    <w:rsid w:val="001A766B"/>
    <w:rsid w:val="001C002E"/>
    <w:rsid w:val="001E51B4"/>
    <w:rsid w:val="002014D3"/>
    <w:rsid w:val="00213B39"/>
    <w:rsid w:val="0021594F"/>
    <w:rsid w:val="00222667"/>
    <w:rsid w:val="00227125"/>
    <w:rsid w:val="002271A5"/>
    <w:rsid w:val="00240FD6"/>
    <w:rsid w:val="0024122C"/>
    <w:rsid w:val="0024556A"/>
    <w:rsid w:val="002457E3"/>
    <w:rsid w:val="00252584"/>
    <w:rsid w:val="00262FD5"/>
    <w:rsid w:val="00270F90"/>
    <w:rsid w:val="002809C4"/>
    <w:rsid w:val="00292395"/>
    <w:rsid w:val="002946B8"/>
    <w:rsid w:val="002A0DA6"/>
    <w:rsid w:val="002B687C"/>
    <w:rsid w:val="002E5534"/>
    <w:rsid w:val="002F0997"/>
    <w:rsid w:val="002F4C64"/>
    <w:rsid w:val="0031382A"/>
    <w:rsid w:val="00333D1B"/>
    <w:rsid w:val="00350F98"/>
    <w:rsid w:val="00356797"/>
    <w:rsid w:val="0036747E"/>
    <w:rsid w:val="00367FC7"/>
    <w:rsid w:val="00372E07"/>
    <w:rsid w:val="003763F2"/>
    <w:rsid w:val="003B6526"/>
    <w:rsid w:val="003B676F"/>
    <w:rsid w:val="003C0DD4"/>
    <w:rsid w:val="003C1D16"/>
    <w:rsid w:val="003C28FE"/>
    <w:rsid w:val="003D7BE7"/>
    <w:rsid w:val="003E541B"/>
    <w:rsid w:val="003E7531"/>
    <w:rsid w:val="003F272E"/>
    <w:rsid w:val="003F5F32"/>
    <w:rsid w:val="00403CB4"/>
    <w:rsid w:val="004150D9"/>
    <w:rsid w:val="00462BF1"/>
    <w:rsid w:val="00473B69"/>
    <w:rsid w:val="00483B87"/>
    <w:rsid w:val="0048592C"/>
    <w:rsid w:val="004A69CD"/>
    <w:rsid w:val="004C6A54"/>
    <w:rsid w:val="004E3DA1"/>
    <w:rsid w:val="00512A3B"/>
    <w:rsid w:val="00513C01"/>
    <w:rsid w:val="005407CE"/>
    <w:rsid w:val="005452B8"/>
    <w:rsid w:val="005673AF"/>
    <w:rsid w:val="00570A0F"/>
    <w:rsid w:val="0058399D"/>
    <w:rsid w:val="005B1ADB"/>
    <w:rsid w:val="005B6170"/>
    <w:rsid w:val="005D0AEC"/>
    <w:rsid w:val="005E4D4F"/>
    <w:rsid w:val="005F71B6"/>
    <w:rsid w:val="006022B2"/>
    <w:rsid w:val="00615375"/>
    <w:rsid w:val="00624895"/>
    <w:rsid w:val="0063376A"/>
    <w:rsid w:val="00647795"/>
    <w:rsid w:val="00662525"/>
    <w:rsid w:val="00677AF1"/>
    <w:rsid w:val="00690F78"/>
    <w:rsid w:val="006B3BF6"/>
    <w:rsid w:val="006C0929"/>
    <w:rsid w:val="006D6E7E"/>
    <w:rsid w:val="006F03AF"/>
    <w:rsid w:val="006F2B0A"/>
    <w:rsid w:val="006F7A06"/>
    <w:rsid w:val="00703DC4"/>
    <w:rsid w:val="007378C8"/>
    <w:rsid w:val="00741EC0"/>
    <w:rsid w:val="00745DE4"/>
    <w:rsid w:val="007535A6"/>
    <w:rsid w:val="00761D04"/>
    <w:rsid w:val="00782A5B"/>
    <w:rsid w:val="00795251"/>
    <w:rsid w:val="00797148"/>
    <w:rsid w:val="007A71DC"/>
    <w:rsid w:val="007A77CB"/>
    <w:rsid w:val="007B2317"/>
    <w:rsid w:val="007B438B"/>
    <w:rsid w:val="007C5344"/>
    <w:rsid w:val="007C5D68"/>
    <w:rsid w:val="00803917"/>
    <w:rsid w:val="00810B41"/>
    <w:rsid w:val="00824489"/>
    <w:rsid w:val="008433C4"/>
    <w:rsid w:val="008468B1"/>
    <w:rsid w:val="00855A30"/>
    <w:rsid w:val="00861B1E"/>
    <w:rsid w:val="00866865"/>
    <w:rsid w:val="008800BE"/>
    <w:rsid w:val="00882ADC"/>
    <w:rsid w:val="008A709E"/>
    <w:rsid w:val="008C0919"/>
    <w:rsid w:val="008D6AE7"/>
    <w:rsid w:val="008E6864"/>
    <w:rsid w:val="00902CD2"/>
    <w:rsid w:val="0091033F"/>
    <w:rsid w:val="0093157C"/>
    <w:rsid w:val="00941AF8"/>
    <w:rsid w:val="009573A5"/>
    <w:rsid w:val="00965518"/>
    <w:rsid w:val="009659D8"/>
    <w:rsid w:val="00967BDE"/>
    <w:rsid w:val="00975FBE"/>
    <w:rsid w:val="00981D60"/>
    <w:rsid w:val="009F35A6"/>
    <w:rsid w:val="009F410D"/>
    <w:rsid w:val="009F4998"/>
    <w:rsid w:val="00A00F8F"/>
    <w:rsid w:val="00A07737"/>
    <w:rsid w:val="00A156E4"/>
    <w:rsid w:val="00A25DCB"/>
    <w:rsid w:val="00A34D11"/>
    <w:rsid w:val="00A40255"/>
    <w:rsid w:val="00A460E1"/>
    <w:rsid w:val="00A6148D"/>
    <w:rsid w:val="00A637DC"/>
    <w:rsid w:val="00A9302E"/>
    <w:rsid w:val="00AA5D73"/>
    <w:rsid w:val="00AC7A59"/>
    <w:rsid w:val="00AD7B4A"/>
    <w:rsid w:val="00AF2966"/>
    <w:rsid w:val="00AF6EB1"/>
    <w:rsid w:val="00B02F2D"/>
    <w:rsid w:val="00B06393"/>
    <w:rsid w:val="00B20CDC"/>
    <w:rsid w:val="00B459E1"/>
    <w:rsid w:val="00B52D20"/>
    <w:rsid w:val="00B644FF"/>
    <w:rsid w:val="00BB3275"/>
    <w:rsid w:val="00BD5621"/>
    <w:rsid w:val="00BD5856"/>
    <w:rsid w:val="00BE64FE"/>
    <w:rsid w:val="00BF05FA"/>
    <w:rsid w:val="00BF3648"/>
    <w:rsid w:val="00BF4D23"/>
    <w:rsid w:val="00BF4F59"/>
    <w:rsid w:val="00C014C6"/>
    <w:rsid w:val="00C03471"/>
    <w:rsid w:val="00C039C4"/>
    <w:rsid w:val="00C07591"/>
    <w:rsid w:val="00C1698E"/>
    <w:rsid w:val="00C40CD1"/>
    <w:rsid w:val="00C574F4"/>
    <w:rsid w:val="00C712F7"/>
    <w:rsid w:val="00C758AA"/>
    <w:rsid w:val="00C8481C"/>
    <w:rsid w:val="00C939DE"/>
    <w:rsid w:val="00C97D3D"/>
    <w:rsid w:val="00CE1A70"/>
    <w:rsid w:val="00D05BD9"/>
    <w:rsid w:val="00D32A34"/>
    <w:rsid w:val="00D42185"/>
    <w:rsid w:val="00D53E86"/>
    <w:rsid w:val="00D736F8"/>
    <w:rsid w:val="00D837D8"/>
    <w:rsid w:val="00D91C31"/>
    <w:rsid w:val="00DB66B0"/>
    <w:rsid w:val="00DB7CD9"/>
    <w:rsid w:val="00DC3B32"/>
    <w:rsid w:val="00DC6273"/>
    <w:rsid w:val="00DD4534"/>
    <w:rsid w:val="00DF345E"/>
    <w:rsid w:val="00DF7117"/>
    <w:rsid w:val="00E06A13"/>
    <w:rsid w:val="00E520E6"/>
    <w:rsid w:val="00E55001"/>
    <w:rsid w:val="00E60A5C"/>
    <w:rsid w:val="00E62515"/>
    <w:rsid w:val="00E7550D"/>
    <w:rsid w:val="00E842E0"/>
    <w:rsid w:val="00EA1714"/>
    <w:rsid w:val="00EC3D02"/>
    <w:rsid w:val="00EF0FE3"/>
    <w:rsid w:val="00F15A65"/>
    <w:rsid w:val="00F17C5A"/>
    <w:rsid w:val="00F42FAC"/>
    <w:rsid w:val="00F93EDC"/>
    <w:rsid w:val="00FB17FE"/>
    <w:rsid w:val="00FB63FB"/>
    <w:rsid w:val="00FB69AE"/>
    <w:rsid w:val="00FD43F0"/>
    <w:rsid w:val="00FD5D56"/>
    <w:rsid w:val="00FD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44C31"/>
  <w15:chartTrackingRefBased/>
  <w15:docId w15:val="{1AC02A8E-231E-4561-8AD9-C86205E7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7125"/>
    <w:pPr>
      <w:jc w:val="both"/>
    </w:pPr>
    <w:rPr>
      <w:rFonts w:ascii="Arial" w:hAnsi="Arial"/>
      <w:szCs w:val="24"/>
      <w:lang w:eastAsia="ko-K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aliases w:val="Footnote Reference Number,-E Fußnotenzeichen,(Diplomarbeit FZ),(Diplomarbeit FZ)1,(Diplomarbeit FZ)2,(Diplomarbeit FZ)3,(Diplomarbeit FZ)4,(Diplomarbeit FZ)5,(Diplomarbeit FZ)6,(Diplomarbeit FZ)7,(Diplomarbeit FZ)8,(Diplomarbeit FZ)9"/>
    <w:semiHidden/>
    <w:rsid w:val="005E4D4F"/>
    <w:rPr>
      <w:vertAlign w:val="superscript"/>
    </w:rPr>
  </w:style>
  <w:style w:type="paragraph" w:styleId="Titel">
    <w:name w:val="Title"/>
    <w:basedOn w:val="Standard"/>
    <w:link w:val="TitelZchn"/>
    <w:qFormat/>
    <w:rsid w:val="005E4D4F"/>
    <w:pPr>
      <w:pageBreakBefore/>
      <w:spacing w:before="120" w:after="120"/>
      <w:jc w:val="center"/>
    </w:pPr>
    <w:rPr>
      <w:b/>
      <w:snapToGrid w:val="0"/>
      <w:kern w:val="28"/>
      <w:sz w:val="32"/>
      <w:szCs w:val="20"/>
      <w:lang w:eastAsia="en-US"/>
    </w:rPr>
  </w:style>
  <w:style w:type="numbering" w:customStyle="1" w:styleId="Aufzhlung">
    <w:name w:val="Aufzählung"/>
    <w:basedOn w:val="KeineListe"/>
    <w:rsid w:val="00227125"/>
    <w:pPr>
      <w:numPr>
        <w:numId w:val="2"/>
      </w:numPr>
    </w:pPr>
  </w:style>
  <w:style w:type="paragraph" w:customStyle="1" w:styleId="Abbildungsbeschriftung">
    <w:name w:val="Abbildungsbeschriftung"/>
    <w:basedOn w:val="Standard"/>
    <w:rsid w:val="002946B8"/>
    <w:rPr>
      <w:i/>
      <w:iCs/>
    </w:rPr>
  </w:style>
  <w:style w:type="character" w:customStyle="1" w:styleId="TitelZchn">
    <w:name w:val="Titel Zchn"/>
    <w:link w:val="Titel"/>
    <w:rsid w:val="005E4D4F"/>
    <w:rPr>
      <w:rFonts w:ascii="Arial" w:hAnsi="Arial"/>
      <w:b/>
      <w:snapToGrid w:val="0"/>
      <w:kern w:val="28"/>
      <w:sz w:val="32"/>
      <w:lang w:val="de-DE" w:eastAsia="en-US" w:bidi="ar-SA"/>
    </w:rPr>
  </w:style>
  <w:style w:type="paragraph" w:customStyle="1" w:styleId="Ueberschrift">
    <w:name w:val="Ueberschrift"/>
    <w:basedOn w:val="Standard"/>
    <w:link w:val="UeberschriftChar"/>
    <w:rsid w:val="00A07737"/>
    <w:pPr>
      <w:spacing w:before="120" w:after="120"/>
    </w:pPr>
    <w:rPr>
      <w:b/>
      <w:spacing w:val="-5"/>
      <w:sz w:val="22"/>
      <w:lang w:eastAsia="de-DE"/>
    </w:rPr>
  </w:style>
  <w:style w:type="character" w:customStyle="1" w:styleId="UeberschriftChar">
    <w:name w:val="Ueberschrift Char"/>
    <w:link w:val="Ueberschrift"/>
    <w:rsid w:val="00A07737"/>
    <w:rPr>
      <w:rFonts w:ascii="Arial" w:hAnsi="Arial"/>
      <w:b/>
      <w:spacing w:val="-5"/>
      <w:sz w:val="22"/>
      <w:szCs w:val="24"/>
      <w:lang w:val="de-DE" w:eastAsia="de-DE" w:bidi="ar-SA"/>
    </w:rPr>
  </w:style>
  <w:style w:type="paragraph" w:customStyle="1" w:styleId="Abstract-Titel">
    <w:name w:val="Abstract-Titel"/>
    <w:basedOn w:val="Titel"/>
    <w:rsid w:val="005E4D4F"/>
    <w:rPr>
      <w:rFonts w:cs="Arial"/>
    </w:rPr>
  </w:style>
  <w:style w:type="paragraph" w:customStyle="1" w:styleId="AutorenOrganisation">
    <w:name w:val="Autoren &amp; Organisation"/>
    <w:basedOn w:val="Standard"/>
    <w:rsid w:val="00010E92"/>
    <w:pPr>
      <w:tabs>
        <w:tab w:val="left" w:pos="1560"/>
      </w:tabs>
      <w:overflowPunct w:val="0"/>
      <w:autoSpaceDE w:val="0"/>
      <w:autoSpaceDN w:val="0"/>
      <w:adjustRightInd w:val="0"/>
      <w:jc w:val="center"/>
      <w:textAlignment w:val="baseline"/>
    </w:pPr>
    <w:rPr>
      <w:rFonts w:cs="Arial"/>
      <w:color w:val="181512"/>
      <w:spacing w:val="-5"/>
      <w:sz w:val="24"/>
      <w:lang w:val="de-AT" w:eastAsia="de-DE"/>
    </w:rPr>
  </w:style>
  <w:style w:type="paragraph" w:customStyle="1" w:styleId="Literatur">
    <w:name w:val="Literatur"/>
    <w:basedOn w:val="Standard"/>
    <w:rsid w:val="005E4D4F"/>
    <w:pPr>
      <w:ind w:left="284" w:hanging="284"/>
    </w:pPr>
    <w:rPr>
      <w:rFonts w:cs="Arial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837D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A71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71DC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71DC"/>
    <w:rPr>
      <w:rFonts w:ascii="Arial" w:hAnsi="Arial"/>
      <w:lang w:eastAsia="ko-K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71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71DC"/>
    <w:rPr>
      <w:rFonts w:ascii="Arial" w:hAnsi="Arial"/>
      <w:b/>
      <w:bCs/>
      <w:lang w:eastAsia="ko-KR"/>
    </w:rPr>
  </w:style>
  <w:style w:type="paragraph" w:styleId="Kopfzeile">
    <w:name w:val="header"/>
    <w:basedOn w:val="Standard"/>
    <w:link w:val="KopfzeileZchn"/>
    <w:uiPriority w:val="99"/>
    <w:semiHidden/>
    <w:unhideWhenUsed/>
    <w:rsid w:val="008A70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A709E"/>
    <w:rPr>
      <w:rFonts w:ascii="Arial" w:hAnsi="Arial"/>
      <w:szCs w:val="24"/>
      <w:lang w:eastAsia="ko-KR"/>
    </w:rPr>
  </w:style>
  <w:style w:type="paragraph" w:styleId="Fuzeile">
    <w:name w:val="footer"/>
    <w:basedOn w:val="Standard"/>
    <w:link w:val="FuzeileZchn"/>
    <w:uiPriority w:val="99"/>
    <w:semiHidden/>
    <w:unhideWhenUsed/>
    <w:rsid w:val="008A70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A709E"/>
    <w:rPr>
      <w:rFonts w:ascii="Arial" w:hAnsi="Arial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38C324B892F43A1C920F5041C6DC0" ma:contentTypeVersion="10" ma:contentTypeDescription="Ein neues Dokument erstellen." ma:contentTypeScope="" ma:versionID="d8381dcc753ec3fa9b6b1956189758e0">
  <xsd:schema xmlns:xsd="http://www.w3.org/2001/XMLSchema" xmlns:xs="http://www.w3.org/2001/XMLSchema" xmlns:p="http://schemas.microsoft.com/office/2006/metadata/properties" xmlns:ns2="aa4a5446-29d1-474a-a0a5-be84e714da4f" targetNamespace="http://schemas.microsoft.com/office/2006/metadata/properties" ma:root="true" ma:fieldsID="b4e53be8015c98d51d4d22b68e4cb22a" ns2:_="">
    <xsd:import namespace="aa4a5446-29d1-474a-a0a5-be84e714da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a5446-29d1-474a-a0a5-be84e714d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5D7916-7780-4467-865E-E10AC079F1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1A87C-3C6F-46B3-AAA2-67C235C115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DB4E98-D316-4E81-ACD5-828D9E177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a5446-29d1-474a-a0a5-be84e714d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TU-Wien Campuslizenz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Gerald</dc:creator>
  <cp:keywords/>
  <cp:lastModifiedBy>Joachim Ferstl</cp:lastModifiedBy>
  <cp:revision>3</cp:revision>
  <dcterms:created xsi:type="dcterms:W3CDTF">2021-05-31T08:06:00Z</dcterms:created>
  <dcterms:modified xsi:type="dcterms:W3CDTF">2021-05-31T08:06:00Z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0x010100F4038C324B892F43A1C920F5041C6DC0</vt:lpwstr>
  </property>
</Properties>
</file>