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576AE" w14:textId="12C6D65B" w:rsidR="005E4D4F" w:rsidRPr="005E4D4F" w:rsidRDefault="00AE31FC" w:rsidP="005E4D4F">
      <w:pPr>
        <w:pStyle w:val="Abstract-Titel"/>
      </w:pPr>
      <w:r w:rsidRPr="00AE31FC">
        <w:t>Betriebswirtschaftliche Systemanalyse von Anergienetzen am Beispiel des Smart Anergy Quarter in Baden</w:t>
      </w:r>
    </w:p>
    <w:p w14:paraId="6756CC06" w14:textId="40665249" w:rsidR="00BF05FA" w:rsidRDefault="00BF05FA" w:rsidP="00A156E4">
      <w:pPr>
        <w:pStyle w:val="AutorenOrganisation"/>
      </w:pPr>
      <w:r>
        <w:t>Themenbereich</w:t>
      </w:r>
      <w:r w:rsidR="00BD1955">
        <w:t xml:space="preserve"> </w:t>
      </w:r>
      <w:r w:rsidR="00BD1955" w:rsidRPr="00BD1955">
        <w:t>Integrierte Netze der Zukunft</w:t>
      </w:r>
    </w:p>
    <w:p w14:paraId="07DDE1B8" w14:textId="61EA5BD3" w:rsidR="005E4D4F" w:rsidRPr="005376B7" w:rsidRDefault="00BD1955" w:rsidP="00A156E4">
      <w:pPr>
        <w:pStyle w:val="AutorenOrganisation"/>
      </w:pPr>
      <w:r w:rsidRPr="005376B7">
        <w:t>Peter</w:t>
      </w:r>
      <w:r w:rsidR="005E4D4F" w:rsidRPr="005376B7">
        <w:t xml:space="preserve"> </w:t>
      </w:r>
      <w:r w:rsidRPr="005376B7">
        <w:t>BIERMAYR</w:t>
      </w:r>
      <w:r w:rsidR="005E4D4F" w:rsidRPr="00010E92">
        <w:rPr>
          <w:vertAlign w:val="superscript"/>
        </w:rPr>
        <w:footnoteReference w:id="1"/>
      </w:r>
      <w:r w:rsidR="00A156E4" w:rsidRPr="005376B7">
        <w:rPr>
          <w:vertAlign w:val="superscript"/>
        </w:rPr>
        <w:t>(1)</w:t>
      </w:r>
      <w:r w:rsidR="005E4D4F" w:rsidRPr="005376B7">
        <w:t xml:space="preserve">, </w:t>
      </w:r>
      <w:r w:rsidRPr="005376B7">
        <w:t>Viktoria</w:t>
      </w:r>
      <w:r w:rsidR="00010E92" w:rsidRPr="005376B7">
        <w:t xml:space="preserve"> </w:t>
      </w:r>
      <w:proofErr w:type="gramStart"/>
      <w:r w:rsidRPr="005376B7">
        <w:t>ILLYES</w:t>
      </w:r>
      <w:r w:rsidR="00A156E4" w:rsidRPr="005376B7">
        <w:rPr>
          <w:vertAlign w:val="superscript"/>
        </w:rPr>
        <w:t>(</w:t>
      </w:r>
      <w:proofErr w:type="gramEnd"/>
      <w:r w:rsidR="00010E92" w:rsidRPr="005376B7">
        <w:rPr>
          <w:vertAlign w:val="superscript"/>
        </w:rPr>
        <w:t>2</w:t>
      </w:r>
      <w:r w:rsidR="00A156E4" w:rsidRPr="005376B7">
        <w:rPr>
          <w:vertAlign w:val="superscript"/>
        </w:rPr>
        <w:t>)</w:t>
      </w:r>
      <w:r w:rsidRPr="005376B7">
        <w:t>, David HUBER</w:t>
      </w:r>
      <w:r w:rsidRPr="005376B7">
        <w:rPr>
          <w:vertAlign w:val="superscript"/>
        </w:rPr>
        <w:t>(2)</w:t>
      </w:r>
      <w:r w:rsidRPr="005376B7">
        <w:t>, Karl PONWEISER</w:t>
      </w:r>
      <w:r w:rsidRPr="005376B7">
        <w:rPr>
          <w:vertAlign w:val="superscript"/>
        </w:rPr>
        <w:t>(2)</w:t>
      </w:r>
    </w:p>
    <w:p w14:paraId="6628F3A8" w14:textId="49931D6B" w:rsidR="005E4D4F" w:rsidRPr="00BD1955" w:rsidRDefault="00A156E4" w:rsidP="005E4D4F">
      <w:pPr>
        <w:pStyle w:val="AutorenOrganisation"/>
      </w:pPr>
      <w:r w:rsidRPr="00BD1955">
        <w:rPr>
          <w:vertAlign w:val="superscript"/>
        </w:rPr>
        <w:t>(</w:t>
      </w:r>
      <w:r w:rsidR="005376B7" w:rsidRPr="00BD1955">
        <w:rPr>
          <w:vertAlign w:val="superscript"/>
        </w:rPr>
        <w:t>1)</w:t>
      </w:r>
      <w:r w:rsidR="005376B7">
        <w:t xml:space="preserve"> Ingenieurbüro </w:t>
      </w:r>
      <w:r w:rsidR="00BD1955" w:rsidRPr="00BD1955">
        <w:t>ENFOS e. U.</w:t>
      </w:r>
      <w:r w:rsidR="00BD1955">
        <w:t>,</w:t>
      </w:r>
      <w:r w:rsidR="00010E92" w:rsidRPr="00BD1955">
        <w:t xml:space="preserve"> </w:t>
      </w:r>
      <w:r w:rsidRPr="00BD1955">
        <w:rPr>
          <w:vertAlign w:val="superscript"/>
        </w:rPr>
        <w:t>(</w:t>
      </w:r>
      <w:r w:rsidR="00010E92" w:rsidRPr="00BD1955">
        <w:rPr>
          <w:vertAlign w:val="superscript"/>
        </w:rPr>
        <w:t>2</w:t>
      </w:r>
      <w:r w:rsidRPr="00BD1955">
        <w:rPr>
          <w:vertAlign w:val="superscript"/>
        </w:rPr>
        <w:t>)</w:t>
      </w:r>
      <w:r w:rsidR="005376B7">
        <w:rPr>
          <w:vertAlign w:val="superscript"/>
        </w:rPr>
        <w:t xml:space="preserve"> </w:t>
      </w:r>
      <w:r w:rsidR="00BD1955" w:rsidRPr="00BD1955">
        <w:t>TU Wien, In</w:t>
      </w:r>
      <w:r w:rsidR="00BD1955">
        <w:t>stitut für Energietechnik und Thermodynamik</w:t>
      </w:r>
    </w:p>
    <w:p w14:paraId="4C186D7D" w14:textId="77777777" w:rsidR="00A07737" w:rsidRPr="00BD1955" w:rsidRDefault="00A07737" w:rsidP="00FB69AE">
      <w:pPr>
        <w:rPr>
          <w:lang w:val="de-AT"/>
        </w:rPr>
      </w:pPr>
    </w:p>
    <w:p w14:paraId="602D3F1B" w14:textId="77777777" w:rsidR="005E4D4F" w:rsidRPr="005E4D4F" w:rsidRDefault="005E4D4F" w:rsidP="005E4D4F">
      <w:pPr>
        <w:pStyle w:val="Ueberschrift"/>
      </w:pPr>
      <w:r w:rsidRPr="005E4D4F">
        <w:t>Motivation und zentrale Fragestellung</w:t>
      </w:r>
    </w:p>
    <w:p w14:paraId="08407FE3" w14:textId="45E5ABC2" w:rsidR="00BD1955" w:rsidRPr="00BD1955" w:rsidRDefault="00BD1955" w:rsidP="00BD1955">
      <w:pPr>
        <w:spacing w:after="120" w:line="288" w:lineRule="auto"/>
        <w:rPr>
          <w:szCs w:val="20"/>
          <w:lang w:val="de-AT"/>
        </w:rPr>
      </w:pPr>
      <w:r w:rsidRPr="00BD1955">
        <w:rPr>
          <w:szCs w:val="20"/>
          <w:lang w:val="de-AT"/>
        </w:rPr>
        <w:t xml:space="preserve">Anergienetze – das sind im Weiteren Wärme- und Kältenetze mit Betriebstemperaturen nahe der Umgebungstemperatur – werden als Möglichkeit zur Nutzung von Niedertemperatur-Abwärme aus Industrie und Gewerbe gesehen. Obwohl im vergangenen Jahrzehnt in Europa einige entsprechende Pilot- und Demonstrationsanlagen errichtet wurden, </w:t>
      </w:r>
      <w:r w:rsidR="00700722">
        <w:rPr>
          <w:szCs w:val="20"/>
          <w:lang w:val="de-AT"/>
        </w:rPr>
        <w:t xml:space="preserve">wurden </w:t>
      </w:r>
      <w:r w:rsidRPr="00BD1955">
        <w:rPr>
          <w:szCs w:val="20"/>
          <w:lang w:val="de-AT"/>
        </w:rPr>
        <w:t>methodische Ansätze zur betriebswirt</w:t>
      </w:r>
      <w:r>
        <w:rPr>
          <w:szCs w:val="20"/>
          <w:lang w:val="de-AT"/>
        </w:rPr>
        <w:t>-</w:t>
      </w:r>
      <w:r w:rsidRPr="00BD1955">
        <w:rPr>
          <w:szCs w:val="20"/>
          <w:lang w:val="de-AT"/>
        </w:rPr>
        <w:t xml:space="preserve">schaftlichen Einschätzung </w:t>
      </w:r>
      <w:r w:rsidR="00700722">
        <w:rPr>
          <w:szCs w:val="20"/>
          <w:lang w:val="de-AT"/>
        </w:rPr>
        <w:t xml:space="preserve">solcher Systeme </w:t>
      </w:r>
      <w:r w:rsidRPr="00BD1955">
        <w:rPr>
          <w:szCs w:val="20"/>
          <w:lang w:val="de-AT"/>
        </w:rPr>
        <w:t>kaum dokumentiert.</w:t>
      </w:r>
    </w:p>
    <w:p w14:paraId="2D76DA6B" w14:textId="7CD7D939" w:rsidR="00BD1955" w:rsidRDefault="00BD1955" w:rsidP="00404E6B">
      <w:pPr>
        <w:spacing w:after="120" w:line="288" w:lineRule="auto"/>
        <w:rPr>
          <w:szCs w:val="20"/>
          <w:lang w:val="de-AT"/>
        </w:rPr>
      </w:pPr>
      <w:r w:rsidRPr="00BD1955">
        <w:rPr>
          <w:szCs w:val="20"/>
          <w:lang w:val="de-AT"/>
        </w:rPr>
        <w:t>Im Forschungsprojekt SANBA</w:t>
      </w:r>
      <w:r w:rsidRPr="00BD1955">
        <w:rPr>
          <w:rStyle w:val="Funotenzeichen"/>
          <w:szCs w:val="20"/>
          <w:lang w:val="de-AT"/>
        </w:rPr>
        <w:footnoteReference w:id="2"/>
      </w:r>
      <w:r w:rsidRPr="00BD1955">
        <w:rPr>
          <w:szCs w:val="20"/>
          <w:lang w:val="de-AT"/>
        </w:rPr>
        <w:t xml:space="preserve"> erfolgt eine interdisziplinäre Planung und Analyse eines Anergienetzes für das konkrete Fallbeispiel der Martinek-Kaserne in Baden bei Wien und der benachbarten Molkerei NÖM AG</w:t>
      </w:r>
      <w:r w:rsidR="00404E6B">
        <w:rPr>
          <w:szCs w:val="20"/>
          <w:lang w:val="de-AT"/>
        </w:rPr>
        <w:t xml:space="preserve">, siehe </w:t>
      </w:r>
      <w:r w:rsidR="00404E6B" w:rsidRPr="00404E6B">
        <w:rPr>
          <w:i/>
          <w:iCs/>
          <w:szCs w:val="20"/>
          <w:lang w:val="de-AT"/>
        </w:rPr>
        <w:t>Abbildung 1</w:t>
      </w:r>
      <w:r w:rsidRPr="00BD1955">
        <w:rPr>
          <w:szCs w:val="20"/>
          <w:lang w:val="de-AT"/>
        </w:rPr>
        <w:t>. Das vom Österreichischen Bundesheer nicht mehr genutzte und unter Denkmalschutz stehende Quartier der Martinek-Kaserne wird in SANBA in drei unterschiedlichen Ausbauszenarien entwickelt, wobei die Forschungsarbeit auf das System zur Wärme- und Kälteversorgung auf Basis eines Anergienetzes fokussiert.</w:t>
      </w:r>
      <w:r w:rsidR="005376B7" w:rsidRPr="005376B7">
        <w:rPr>
          <w:szCs w:val="20"/>
          <w:lang w:val="de-AT"/>
        </w:rPr>
        <w:t xml:space="preserve"> </w:t>
      </w:r>
      <w:r w:rsidR="005376B7">
        <w:rPr>
          <w:szCs w:val="20"/>
          <w:lang w:val="de-AT"/>
        </w:rPr>
        <w:t xml:space="preserve">Das </w:t>
      </w:r>
      <w:r w:rsidR="005376B7">
        <w:rPr>
          <w:szCs w:val="20"/>
          <w:lang w:val="de-AT"/>
        </w:rPr>
        <w:t>Szenario MINI</w:t>
      </w:r>
      <w:r w:rsidR="005376B7">
        <w:rPr>
          <w:szCs w:val="20"/>
          <w:lang w:val="de-AT"/>
        </w:rPr>
        <w:t xml:space="preserve"> geht dabei von der alleinigen Sanierung und weiteren Nutzung der denkmalgeschützten Bestandsgebäude aus. Die Szenarien </w:t>
      </w:r>
      <w:r w:rsidR="005376B7">
        <w:rPr>
          <w:szCs w:val="20"/>
          <w:lang w:val="de-AT"/>
        </w:rPr>
        <w:t>MIDI und MAXI</w:t>
      </w:r>
      <w:r w:rsidR="005376B7">
        <w:rPr>
          <w:szCs w:val="20"/>
          <w:lang w:val="de-AT"/>
        </w:rPr>
        <w:t xml:space="preserve"> gehen darüber hinaus von einer unterschiedlich starken Nachverdichtung des Quartiers durch neu gebaute Gebäude aus. </w:t>
      </w:r>
      <w:r w:rsidRPr="00BD1955">
        <w:rPr>
          <w:szCs w:val="20"/>
          <w:lang w:val="de-AT"/>
        </w:rPr>
        <w:t>Die betriebswirtschaftliche Systemanalyse ist dabei integraler Bestandteil de</w:t>
      </w:r>
      <w:r w:rsidR="005376B7">
        <w:rPr>
          <w:szCs w:val="20"/>
          <w:lang w:val="de-AT"/>
        </w:rPr>
        <w:t>s Planungsprozesses</w:t>
      </w:r>
      <w:r w:rsidRPr="00BD1955">
        <w:rPr>
          <w:szCs w:val="20"/>
          <w:lang w:val="de-AT"/>
        </w:rPr>
        <w:t>.</w:t>
      </w:r>
    </w:p>
    <w:p w14:paraId="79D4AF6F" w14:textId="77777777" w:rsidR="00404E6B" w:rsidRPr="00525ECD" w:rsidRDefault="00404E6B" w:rsidP="00404E6B">
      <w:pPr>
        <w:spacing w:line="288" w:lineRule="auto"/>
        <w:jc w:val="center"/>
        <w:rPr>
          <w:sz w:val="22"/>
          <w:szCs w:val="22"/>
          <w:lang w:val="de-AT"/>
        </w:rPr>
      </w:pPr>
      <w:r w:rsidRPr="00525ECD">
        <w:rPr>
          <w:noProof/>
          <w:sz w:val="22"/>
          <w:szCs w:val="22"/>
          <w:lang w:val="de-AT"/>
        </w:rPr>
        <w:drawing>
          <wp:inline distT="0" distB="0" distL="0" distR="0" wp14:anchorId="164CEE62" wp14:editId="30DB9FBA">
            <wp:extent cx="3506400" cy="2700000"/>
            <wp:effectExtent l="19050" t="19050" r="18415" b="2476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6400" cy="2700000"/>
                    </a:xfrm>
                    <a:prstGeom prst="rect">
                      <a:avLst/>
                    </a:prstGeom>
                    <a:noFill/>
                    <a:ln>
                      <a:solidFill>
                        <a:schemeClr val="tx1"/>
                      </a:solidFill>
                    </a:ln>
                  </pic:spPr>
                </pic:pic>
              </a:graphicData>
            </a:graphic>
          </wp:inline>
        </w:drawing>
      </w:r>
    </w:p>
    <w:p w14:paraId="6F5B22A4" w14:textId="77777777" w:rsidR="00404E6B" w:rsidRPr="00B80083" w:rsidRDefault="00404E6B" w:rsidP="0074336E">
      <w:pPr>
        <w:pStyle w:val="Beschriftung"/>
        <w:spacing w:line="288" w:lineRule="auto"/>
        <w:jc w:val="center"/>
        <w:rPr>
          <w:sz w:val="20"/>
          <w:szCs w:val="20"/>
          <w:lang w:val="de-AT"/>
        </w:rPr>
      </w:pPr>
      <w:r w:rsidRPr="00B80083">
        <w:rPr>
          <w:sz w:val="20"/>
          <w:szCs w:val="20"/>
          <w:lang w:val="de-AT"/>
        </w:rPr>
        <w:t xml:space="preserve">Abbildung </w:t>
      </w:r>
      <w:r>
        <w:rPr>
          <w:sz w:val="20"/>
          <w:szCs w:val="20"/>
          <w:lang w:val="de-AT"/>
        </w:rPr>
        <w:t>1</w:t>
      </w:r>
      <w:r w:rsidRPr="00B80083">
        <w:rPr>
          <w:sz w:val="20"/>
          <w:szCs w:val="20"/>
          <w:lang w:val="de-AT"/>
        </w:rPr>
        <w:t>: Das Untersuchungsgebiet bestehend aus dem Areal der Martinek-Kaserne in Baden bei Wien sowie dem Betriebsgelände der NÖM AG. Quelle Ortofoto: NÖ Webgisatlas, atlas.noe.gv.at.</w:t>
      </w:r>
    </w:p>
    <w:p w14:paraId="7A4D6F3F" w14:textId="77777777" w:rsidR="005E4D4F" w:rsidRPr="005E4D4F" w:rsidRDefault="005E4D4F" w:rsidP="005E4D4F">
      <w:pPr>
        <w:pStyle w:val="Ueberschrift"/>
      </w:pPr>
      <w:r w:rsidRPr="005E4D4F">
        <w:t>Methodische Vorgangsweise</w:t>
      </w:r>
    </w:p>
    <w:p w14:paraId="07B1B45C" w14:textId="3849EFF6" w:rsidR="005E4D4F" w:rsidRPr="00BD1955" w:rsidRDefault="00BD1955" w:rsidP="00BD1955">
      <w:pPr>
        <w:spacing w:line="288" w:lineRule="auto"/>
        <w:rPr>
          <w:szCs w:val="20"/>
          <w:lang w:val="de-AT"/>
        </w:rPr>
      </w:pPr>
      <w:r w:rsidRPr="00BD1955">
        <w:rPr>
          <w:szCs w:val="20"/>
          <w:lang w:val="de-AT"/>
        </w:rPr>
        <w:t>Zur betriebswirtschaftlichen Analyse werden ein top-down Ansatz auf Basis von Netz-Belagskennzahlen und ein mikrodatenbasierter bottom-up Ansatz auf Basis der Kapitalwertmethode gegenübergestellt</w:t>
      </w:r>
      <w:r w:rsidR="005376B7">
        <w:rPr>
          <w:szCs w:val="20"/>
          <w:lang w:val="de-AT"/>
        </w:rPr>
        <w:t xml:space="preserve">, </w:t>
      </w:r>
      <w:r w:rsidR="005376B7">
        <w:rPr>
          <w:szCs w:val="20"/>
          <w:lang w:val="de-AT"/>
        </w:rPr>
        <w:lastRenderedPageBreak/>
        <w:t xml:space="preserve">wobei </w:t>
      </w:r>
      <w:r w:rsidR="00AE31FC">
        <w:rPr>
          <w:szCs w:val="20"/>
          <w:lang w:val="de-AT"/>
        </w:rPr>
        <w:t>die Analysen stets für drei definierte Szenarien durchgeführt werden.</w:t>
      </w:r>
      <w:r w:rsidRPr="00BD1955">
        <w:rPr>
          <w:szCs w:val="20"/>
          <w:lang w:val="de-AT"/>
        </w:rPr>
        <w:t xml:space="preserve"> Technische und wirtschaftliche Lerneffekte, sowie Skaleneffekte werden im Bereich </w:t>
      </w:r>
      <w:r w:rsidR="00AE31FC">
        <w:rPr>
          <w:szCs w:val="20"/>
          <w:lang w:val="de-AT"/>
        </w:rPr>
        <w:t xml:space="preserve">des </w:t>
      </w:r>
      <w:r w:rsidR="00AE31FC" w:rsidRPr="00AE31FC">
        <w:rPr>
          <w:szCs w:val="20"/>
          <w:lang w:val="de-AT"/>
        </w:rPr>
        <w:t>bottom-up Ansatz</w:t>
      </w:r>
      <w:r w:rsidR="00AE31FC">
        <w:rPr>
          <w:szCs w:val="20"/>
          <w:lang w:val="de-AT"/>
        </w:rPr>
        <w:t>es untersucht und die Robustheit des Systems in Hinblick auf kurz- bis langfristige Ausfälle der Anergielieferung durch den Industriebetrieb wird thematisiert.</w:t>
      </w:r>
    </w:p>
    <w:p w14:paraId="689580C3" w14:textId="77777777" w:rsidR="005E4D4F" w:rsidRPr="005E4D4F" w:rsidRDefault="005E4D4F" w:rsidP="005E4D4F">
      <w:pPr>
        <w:pStyle w:val="Ueberschrift"/>
      </w:pPr>
      <w:r w:rsidRPr="005E4D4F">
        <w:t>Ergebnisse und Schlussfolgerungen</w:t>
      </w:r>
    </w:p>
    <w:p w14:paraId="48613DDF" w14:textId="078778FA" w:rsidR="00AE31FC" w:rsidRDefault="00BD1955" w:rsidP="00AE31FC">
      <w:pPr>
        <w:spacing w:after="120" w:line="288" w:lineRule="auto"/>
        <w:rPr>
          <w:szCs w:val="20"/>
          <w:lang w:val="de-AT"/>
        </w:rPr>
      </w:pPr>
      <w:r w:rsidRPr="00BD1955">
        <w:rPr>
          <w:szCs w:val="20"/>
          <w:lang w:val="de-AT"/>
        </w:rPr>
        <w:t xml:space="preserve">Die gewonnenen Erkenntnisse zeigen eine gute Konvergenz der </w:t>
      </w:r>
      <w:r w:rsidR="00AE31FC">
        <w:rPr>
          <w:szCs w:val="20"/>
          <w:lang w:val="de-AT"/>
        </w:rPr>
        <w:t xml:space="preserve">unterschiedlichen </w:t>
      </w:r>
      <w:r w:rsidRPr="00BD1955">
        <w:rPr>
          <w:szCs w:val="20"/>
          <w:lang w:val="de-AT"/>
        </w:rPr>
        <w:t xml:space="preserve">methodischen Ansätze und eine große Zahl von Einflussfaktoren auf die Wirtschaftlichkeit der Wärme- und Kältebereitstellung mittels Anergienetz. </w:t>
      </w:r>
      <w:r w:rsidR="00AE31FC">
        <w:rPr>
          <w:szCs w:val="20"/>
          <w:lang w:val="de-AT"/>
        </w:rPr>
        <w:t xml:space="preserve">Die in </w:t>
      </w:r>
      <w:r w:rsidR="00AE31FC" w:rsidRPr="0074336E">
        <w:rPr>
          <w:i/>
          <w:iCs/>
          <w:szCs w:val="20"/>
          <w:lang w:val="de-AT"/>
        </w:rPr>
        <w:t>Tabelle 1</w:t>
      </w:r>
      <w:r w:rsidR="00AE31FC">
        <w:rPr>
          <w:szCs w:val="20"/>
          <w:lang w:val="de-AT"/>
        </w:rPr>
        <w:t xml:space="preserve"> zusammengefassten Netz-Belagskennzahlen aus der top</w:t>
      </w:r>
      <w:r w:rsidR="0074336E">
        <w:rPr>
          <w:szCs w:val="20"/>
          <w:lang w:val="de-AT"/>
        </w:rPr>
        <w:t>-</w:t>
      </w:r>
      <w:r w:rsidR="00AE31FC">
        <w:rPr>
          <w:szCs w:val="20"/>
          <w:lang w:val="de-AT"/>
        </w:rPr>
        <w:t xml:space="preserve">down Analyse decken sich bezüglich ihrer Aussage </w:t>
      </w:r>
      <w:r w:rsidR="0074336E">
        <w:rPr>
          <w:szCs w:val="20"/>
          <w:lang w:val="de-AT"/>
        </w:rPr>
        <w:t xml:space="preserve">mit den Ergebnissen aus der dynamischen Wirtschaftlichkeitsanalyse aus dem bottom-up Ansatz, siehe </w:t>
      </w:r>
      <w:r w:rsidR="0074336E" w:rsidRPr="0074336E">
        <w:rPr>
          <w:i/>
          <w:iCs/>
          <w:szCs w:val="20"/>
          <w:lang w:val="de-AT"/>
        </w:rPr>
        <w:t>Abbildung 2</w:t>
      </w:r>
      <w:r w:rsidR="0074336E">
        <w:rPr>
          <w:szCs w:val="20"/>
          <w:lang w:val="de-AT"/>
        </w:rPr>
        <w:t>. In beiden Fällen erweist sich das MINI Szenario als betriebswirtschaftlich nicht darstellbar, während die Szenarien MIDI und MAXI betriebswirtschaftlich attraktiv erscheinen.</w:t>
      </w:r>
    </w:p>
    <w:p w14:paraId="4A79A75C" w14:textId="6C316D53" w:rsidR="005E4D4F" w:rsidRPr="00BD1955" w:rsidRDefault="00BD1955" w:rsidP="00BD1955">
      <w:pPr>
        <w:spacing w:line="288" w:lineRule="auto"/>
        <w:rPr>
          <w:szCs w:val="20"/>
          <w:lang w:val="de-AT"/>
        </w:rPr>
      </w:pPr>
      <w:r w:rsidRPr="00BD1955">
        <w:rPr>
          <w:szCs w:val="20"/>
          <w:lang w:val="de-AT"/>
        </w:rPr>
        <w:t xml:space="preserve">Erfolgsfaktoren sind </w:t>
      </w:r>
      <w:r w:rsidR="0074336E">
        <w:rPr>
          <w:szCs w:val="20"/>
          <w:lang w:val="de-AT"/>
        </w:rPr>
        <w:t xml:space="preserve">dabei </w:t>
      </w:r>
      <w:r w:rsidRPr="00BD1955">
        <w:rPr>
          <w:szCs w:val="20"/>
          <w:lang w:val="de-AT"/>
        </w:rPr>
        <w:t>ein ausreichender Arbeitsbelag des Anergienetzes, eine Win-win-Situation zwischen (Ab)Wärmequelle und -senke, die Möglichkeit des saisonalen Ausgleichs über Erdsondenfelder, die Nutzung von Skaleneffekten in Hinblick auf Systemdesign und absolute Netzgröße,</w:t>
      </w:r>
      <w:r w:rsidR="00593A08">
        <w:rPr>
          <w:szCs w:val="20"/>
          <w:lang w:val="de-AT"/>
        </w:rPr>
        <w:t xml:space="preserve"> strukturelle Rahmenbedingungen bei der Netzerrichtung,</w:t>
      </w:r>
      <w:r w:rsidRPr="00BD1955">
        <w:rPr>
          <w:szCs w:val="20"/>
          <w:lang w:val="de-AT"/>
        </w:rPr>
        <w:t xml:space="preserve"> zweckmäßige Tarifmodelle für Wärme und Kälte und viele andere mehr.</w:t>
      </w:r>
    </w:p>
    <w:p w14:paraId="1B4F3908" w14:textId="77777777" w:rsidR="00AE31FC" w:rsidRPr="00B80083" w:rsidRDefault="00AE31FC" w:rsidP="00AE31FC">
      <w:pPr>
        <w:pStyle w:val="Beschriftung"/>
        <w:spacing w:before="240" w:after="0" w:line="288" w:lineRule="auto"/>
        <w:rPr>
          <w:sz w:val="20"/>
          <w:szCs w:val="20"/>
          <w:lang w:val="de-AT"/>
        </w:rPr>
      </w:pPr>
      <w:r>
        <w:rPr>
          <w:sz w:val="20"/>
          <w:szCs w:val="20"/>
          <w:lang w:val="de-AT"/>
        </w:rPr>
        <w:t>Tabelle 1</w:t>
      </w:r>
      <w:r w:rsidRPr="00B80083">
        <w:rPr>
          <w:sz w:val="20"/>
          <w:szCs w:val="20"/>
          <w:lang w:val="de-AT"/>
        </w:rPr>
        <w:t xml:space="preserve">: </w:t>
      </w:r>
      <w:r>
        <w:rPr>
          <w:sz w:val="20"/>
          <w:szCs w:val="20"/>
          <w:lang w:val="de-AT"/>
        </w:rPr>
        <w:t>Netz-Belagskennzahlen für die drei SANBA-Szenarien</w:t>
      </w:r>
    </w:p>
    <w:tbl>
      <w:tblPr>
        <w:tblStyle w:val="Tabellenraster"/>
        <w:tblW w:w="9067" w:type="dxa"/>
        <w:tblLook w:val="0600" w:firstRow="0" w:lastRow="0" w:firstColumn="0" w:lastColumn="0" w:noHBand="1" w:noVBand="1"/>
      </w:tblPr>
      <w:tblGrid>
        <w:gridCol w:w="4390"/>
        <w:gridCol w:w="1559"/>
        <w:gridCol w:w="1559"/>
        <w:gridCol w:w="1559"/>
      </w:tblGrid>
      <w:tr w:rsidR="00AE31FC" w:rsidRPr="00AC3B44" w14:paraId="0C307358" w14:textId="77777777" w:rsidTr="00AE31FC">
        <w:trPr>
          <w:trHeight w:val="397"/>
        </w:trPr>
        <w:tc>
          <w:tcPr>
            <w:tcW w:w="4390" w:type="dxa"/>
            <w:vAlign w:val="center"/>
            <w:hideMark/>
          </w:tcPr>
          <w:p w14:paraId="494B9816" w14:textId="77777777" w:rsidR="00AE31FC" w:rsidRPr="00AE31FC" w:rsidRDefault="00AE31FC" w:rsidP="00BF0DDA">
            <w:pPr>
              <w:ind w:firstLine="144"/>
              <w:jc w:val="left"/>
              <w:textAlignment w:val="bottom"/>
              <w:rPr>
                <w:rFonts w:cs="Arial"/>
                <w:szCs w:val="20"/>
                <w:lang w:val="de-AT" w:eastAsia="de-AT"/>
              </w:rPr>
            </w:pPr>
            <w:r w:rsidRPr="00AE31FC">
              <w:rPr>
                <w:rFonts w:cs="Arial"/>
                <w:color w:val="000000" w:themeColor="dark1"/>
                <w:kern w:val="24"/>
                <w:szCs w:val="20"/>
                <w:lang w:val="de-AT" w:eastAsia="de-AT"/>
              </w:rPr>
              <w:t>Kennzahlen in den SANBA-Szenarien</w:t>
            </w:r>
          </w:p>
        </w:tc>
        <w:tc>
          <w:tcPr>
            <w:tcW w:w="1559" w:type="dxa"/>
            <w:vAlign w:val="center"/>
            <w:hideMark/>
          </w:tcPr>
          <w:p w14:paraId="741655F6" w14:textId="77777777" w:rsidR="00AE31FC" w:rsidRPr="00AE31FC" w:rsidRDefault="00AE31FC" w:rsidP="00BF0DDA">
            <w:pPr>
              <w:jc w:val="center"/>
              <w:textAlignment w:val="bottom"/>
              <w:rPr>
                <w:rFonts w:cs="Arial"/>
                <w:szCs w:val="20"/>
                <w:lang w:val="de-AT" w:eastAsia="de-AT"/>
              </w:rPr>
            </w:pPr>
            <w:r w:rsidRPr="00AE31FC">
              <w:rPr>
                <w:rFonts w:cs="Arial"/>
                <w:color w:val="000000" w:themeColor="dark1"/>
                <w:kern w:val="24"/>
                <w:szCs w:val="20"/>
                <w:lang w:val="de-AT" w:eastAsia="de-AT"/>
              </w:rPr>
              <w:t>MINI</w:t>
            </w:r>
          </w:p>
        </w:tc>
        <w:tc>
          <w:tcPr>
            <w:tcW w:w="1559" w:type="dxa"/>
            <w:vAlign w:val="center"/>
            <w:hideMark/>
          </w:tcPr>
          <w:p w14:paraId="17ECB3A2" w14:textId="77777777" w:rsidR="00AE31FC" w:rsidRPr="00AE31FC" w:rsidRDefault="00AE31FC" w:rsidP="00BF0DDA">
            <w:pPr>
              <w:jc w:val="center"/>
              <w:textAlignment w:val="bottom"/>
              <w:rPr>
                <w:rFonts w:cs="Arial"/>
                <w:szCs w:val="20"/>
                <w:lang w:val="de-AT" w:eastAsia="de-AT"/>
              </w:rPr>
            </w:pPr>
            <w:r w:rsidRPr="00AE31FC">
              <w:rPr>
                <w:rFonts w:cs="Arial"/>
                <w:color w:val="000000" w:themeColor="dark1"/>
                <w:kern w:val="24"/>
                <w:szCs w:val="20"/>
                <w:lang w:val="de-AT" w:eastAsia="de-AT"/>
              </w:rPr>
              <w:t>MIDI</w:t>
            </w:r>
          </w:p>
        </w:tc>
        <w:tc>
          <w:tcPr>
            <w:tcW w:w="1559" w:type="dxa"/>
            <w:vAlign w:val="center"/>
            <w:hideMark/>
          </w:tcPr>
          <w:p w14:paraId="6EB40BAA" w14:textId="77777777" w:rsidR="00AE31FC" w:rsidRPr="00AE31FC" w:rsidRDefault="00AE31FC" w:rsidP="00BF0DDA">
            <w:pPr>
              <w:jc w:val="center"/>
              <w:textAlignment w:val="bottom"/>
              <w:rPr>
                <w:rFonts w:cs="Arial"/>
                <w:szCs w:val="20"/>
                <w:lang w:val="de-AT" w:eastAsia="de-AT"/>
              </w:rPr>
            </w:pPr>
            <w:r w:rsidRPr="00AE31FC">
              <w:rPr>
                <w:rFonts w:cs="Arial"/>
                <w:color w:val="000000" w:themeColor="dark1"/>
                <w:kern w:val="24"/>
                <w:szCs w:val="20"/>
                <w:lang w:val="de-AT" w:eastAsia="de-AT"/>
              </w:rPr>
              <w:t>MAXI</w:t>
            </w:r>
          </w:p>
        </w:tc>
      </w:tr>
      <w:tr w:rsidR="00AE31FC" w:rsidRPr="00AC3B44" w14:paraId="3651DEA3" w14:textId="77777777" w:rsidTr="00AE31FC">
        <w:trPr>
          <w:trHeight w:val="397"/>
        </w:trPr>
        <w:tc>
          <w:tcPr>
            <w:tcW w:w="4390" w:type="dxa"/>
            <w:vAlign w:val="center"/>
            <w:hideMark/>
          </w:tcPr>
          <w:p w14:paraId="39C5B0BD" w14:textId="77777777" w:rsidR="00AE31FC" w:rsidRPr="00AE31FC" w:rsidRDefault="00AE31FC" w:rsidP="00BF0DDA">
            <w:pPr>
              <w:ind w:firstLine="144"/>
              <w:jc w:val="left"/>
              <w:textAlignment w:val="bottom"/>
              <w:rPr>
                <w:rFonts w:cs="Arial"/>
                <w:szCs w:val="20"/>
                <w:lang w:val="de-AT" w:eastAsia="de-AT"/>
              </w:rPr>
            </w:pPr>
            <w:r w:rsidRPr="00AE31FC">
              <w:rPr>
                <w:rFonts w:cs="Arial"/>
                <w:color w:val="000000" w:themeColor="dark1"/>
                <w:kern w:val="24"/>
                <w:szCs w:val="20"/>
                <w:lang w:eastAsia="de-AT"/>
              </w:rPr>
              <w:t>Arbeitsbelag [</w:t>
            </w:r>
            <w:r w:rsidRPr="00AE31FC">
              <w:rPr>
                <w:rFonts w:cs="Arial"/>
                <w:color w:val="000000" w:themeColor="dark1"/>
                <w:kern w:val="24"/>
                <w:szCs w:val="20"/>
                <w:lang w:val="de-AT" w:eastAsia="de-AT"/>
              </w:rPr>
              <w:t>MWh</w:t>
            </w:r>
            <w:proofErr w:type="spellStart"/>
            <w:r w:rsidRPr="00AE31FC">
              <w:rPr>
                <w:rFonts w:cs="Arial"/>
                <w:color w:val="000000" w:themeColor="dark1"/>
                <w:kern w:val="24"/>
                <w:position w:val="-12"/>
                <w:szCs w:val="20"/>
                <w:vertAlign w:val="subscript"/>
                <w:lang w:val="de-AT" w:eastAsia="de-AT"/>
              </w:rPr>
              <w:t>th</w:t>
            </w:r>
            <w:proofErr w:type="spellEnd"/>
            <w:r w:rsidRPr="00AE31FC">
              <w:rPr>
                <w:rFonts w:cs="Arial"/>
                <w:color w:val="000000" w:themeColor="dark1"/>
                <w:kern w:val="24"/>
                <w:szCs w:val="20"/>
                <w:lang w:val="de-AT" w:eastAsia="de-AT"/>
              </w:rPr>
              <w:t>/(a*m</w:t>
            </w:r>
            <w:r w:rsidRPr="00AE31FC">
              <w:rPr>
                <w:rFonts w:cs="Arial"/>
                <w:color w:val="000000" w:themeColor="dark1"/>
                <w:kern w:val="24"/>
                <w:position w:val="-12"/>
                <w:szCs w:val="20"/>
                <w:vertAlign w:val="subscript"/>
                <w:lang w:val="de-AT" w:eastAsia="de-AT"/>
              </w:rPr>
              <w:t>Trasse</w:t>
            </w:r>
            <w:r w:rsidRPr="00AE31FC">
              <w:rPr>
                <w:rFonts w:cs="Arial"/>
                <w:color w:val="000000" w:themeColor="dark1"/>
                <w:kern w:val="24"/>
                <w:szCs w:val="20"/>
                <w:lang w:val="de-AT" w:eastAsia="de-AT"/>
              </w:rPr>
              <w:t>)]</w:t>
            </w:r>
          </w:p>
        </w:tc>
        <w:tc>
          <w:tcPr>
            <w:tcW w:w="1559" w:type="dxa"/>
            <w:vAlign w:val="center"/>
            <w:hideMark/>
          </w:tcPr>
          <w:p w14:paraId="701A1E38" w14:textId="77777777" w:rsidR="00AE31FC" w:rsidRPr="00AE31FC" w:rsidRDefault="00AE31FC" w:rsidP="00BF0DDA">
            <w:pPr>
              <w:jc w:val="center"/>
              <w:textAlignment w:val="bottom"/>
              <w:rPr>
                <w:rFonts w:cs="Arial"/>
                <w:szCs w:val="20"/>
                <w:lang w:val="de-AT" w:eastAsia="de-AT"/>
              </w:rPr>
            </w:pPr>
            <w:r w:rsidRPr="00AE31FC">
              <w:rPr>
                <w:rFonts w:cs="Arial"/>
                <w:color w:val="000000" w:themeColor="dark1"/>
                <w:kern w:val="24"/>
                <w:szCs w:val="20"/>
                <w:lang w:val="de-AT" w:eastAsia="de-AT"/>
              </w:rPr>
              <w:t>1,6</w:t>
            </w:r>
          </w:p>
        </w:tc>
        <w:tc>
          <w:tcPr>
            <w:tcW w:w="1559" w:type="dxa"/>
            <w:vAlign w:val="center"/>
            <w:hideMark/>
          </w:tcPr>
          <w:p w14:paraId="35064933" w14:textId="77777777" w:rsidR="00AE31FC" w:rsidRPr="00AE31FC" w:rsidRDefault="00AE31FC" w:rsidP="00BF0DDA">
            <w:pPr>
              <w:jc w:val="center"/>
              <w:textAlignment w:val="bottom"/>
              <w:rPr>
                <w:rFonts w:cs="Arial"/>
                <w:szCs w:val="20"/>
                <w:lang w:val="de-AT" w:eastAsia="de-AT"/>
              </w:rPr>
            </w:pPr>
            <w:r w:rsidRPr="00AE31FC">
              <w:rPr>
                <w:rFonts w:cs="Arial"/>
                <w:color w:val="000000" w:themeColor="dark1"/>
                <w:kern w:val="24"/>
                <w:szCs w:val="20"/>
                <w:lang w:val="de-AT" w:eastAsia="de-AT"/>
              </w:rPr>
              <w:t>4,9</w:t>
            </w:r>
          </w:p>
        </w:tc>
        <w:tc>
          <w:tcPr>
            <w:tcW w:w="1559" w:type="dxa"/>
            <w:vAlign w:val="center"/>
            <w:hideMark/>
          </w:tcPr>
          <w:p w14:paraId="4D32F0EF" w14:textId="77777777" w:rsidR="00AE31FC" w:rsidRPr="00AE31FC" w:rsidRDefault="00AE31FC" w:rsidP="00BF0DDA">
            <w:pPr>
              <w:jc w:val="center"/>
              <w:textAlignment w:val="bottom"/>
              <w:rPr>
                <w:rFonts w:cs="Arial"/>
                <w:szCs w:val="20"/>
                <w:lang w:val="de-AT" w:eastAsia="de-AT"/>
              </w:rPr>
            </w:pPr>
            <w:r w:rsidRPr="00AE31FC">
              <w:rPr>
                <w:rFonts w:cs="Arial"/>
                <w:color w:val="000000" w:themeColor="dark1"/>
                <w:kern w:val="24"/>
                <w:szCs w:val="20"/>
                <w:lang w:val="de-AT" w:eastAsia="de-AT"/>
              </w:rPr>
              <w:t>5,4</w:t>
            </w:r>
          </w:p>
        </w:tc>
      </w:tr>
      <w:tr w:rsidR="00AE31FC" w:rsidRPr="00AC3B44" w14:paraId="66FCEA35" w14:textId="77777777" w:rsidTr="00AE31FC">
        <w:trPr>
          <w:trHeight w:val="397"/>
        </w:trPr>
        <w:tc>
          <w:tcPr>
            <w:tcW w:w="4390" w:type="dxa"/>
            <w:vAlign w:val="center"/>
            <w:hideMark/>
          </w:tcPr>
          <w:p w14:paraId="7DD6D692" w14:textId="77777777" w:rsidR="00AE31FC" w:rsidRPr="00AE31FC" w:rsidRDefault="00AE31FC" w:rsidP="00BF0DDA">
            <w:pPr>
              <w:ind w:firstLine="144"/>
              <w:jc w:val="left"/>
              <w:textAlignment w:val="bottom"/>
              <w:rPr>
                <w:rFonts w:cs="Arial"/>
                <w:szCs w:val="20"/>
                <w:lang w:val="de-AT" w:eastAsia="de-AT"/>
              </w:rPr>
            </w:pPr>
            <w:r w:rsidRPr="00AE31FC">
              <w:rPr>
                <w:rFonts w:cs="Arial"/>
                <w:color w:val="000000"/>
                <w:kern w:val="24"/>
                <w:szCs w:val="20"/>
                <w:lang w:eastAsia="de-AT"/>
              </w:rPr>
              <w:t>Leistungsbelag [</w:t>
            </w:r>
            <w:r w:rsidRPr="00AE31FC">
              <w:rPr>
                <w:rFonts w:cs="Arial"/>
                <w:color w:val="000000" w:themeColor="dark1"/>
                <w:kern w:val="24"/>
                <w:szCs w:val="20"/>
                <w:lang w:val="de-AT" w:eastAsia="de-AT"/>
              </w:rPr>
              <w:t>kW</w:t>
            </w:r>
            <w:proofErr w:type="spellStart"/>
            <w:r w:rsidRPr="00AE31FC">
              <w:rPr>
                <w:rFonts w:cs="Arial"/>
                <w:color w:val="000000" w:themeColor="dark1"/>
                <w:kern w:val="24"/>
                <w:position w:val="-12"/>
                <w:szCs w:val="20"/>
                <w:vertAlign w:val="subscript"/>
                <w:lang w:val="de-AT" w:eastAsia="de-AT"/>
              </w:rPr>
              <w:t>th</w:t>
            </w:r>
            <w:proofErr w:type="spellEnd"/>
            <w:r w:rsidRPr="00AE31FC">
              <w:rPr>
                <w:rFonts w:cs="Arial"/>
                <w:color w:val="000000" w:themeColor="dark1"/>
                <w:kern w:val="24"/>
                <w:szCs w:val="20"/>
                <w:lang w:val="de-AT" w:eastAsia="de-AT"/>
              </w:rPr>
              <w:t>/m</w:t>
            </w:r>
            <w:r w:rsidRPr="00AE31FC">
              <w:rPr>
                <w:rFonts w:cs="Arial"/>
                <w:color w:val="000000" w:themeColor="dark1"/>
                <w:kern w:val="24"/>
                <w:position w:val="-12"/>
                <w:szCs w:val="20"/>
                <w:vertAlign w:val="subscript"/>
                <w:lang w:val="de-AT" w:eastAsia="de-AT"/>
              </w:rPr>
              <w:t>Trasse</w:t>
            </w:r>
            <w:r w:rsidRPr="00AE31FC">
              <w:rPr>
                <w:rFonts w:cs="Arial"/>
                <w:color w:val="000000" w:themeColor="dark1"/>
                <w:kern w:val="24"/>
                <w:szCs w:val="20"/>
                <w:lang w:val="de-AT" w:eastAsia="de-AT"/>
              </w:rPr>
              <w:t>]</w:t>
            </w:r>
          </w:p>
        </w:tc>
        <w:tc>
          <w:tcPr>
            <w:tcW w:w="1559" w:type="dxa"/>
            <w:vAlign w:val="center"/>
            <w:hideMark/>
          </w:tcPr>
          <w:p w14:paraId="35F2AA8E" w14:textId="77777777" w:rsidR="00AE31FC" w:rsidRPr="00AE31FC" w:rsidRDefault="00AE31FC" w:rsidP="00BF0DDA">
            <w:pPr>
              <w:jc w:val="center"/>
              <w:textAlignment w:val="bottom"/>
              <w:rPr>
                <w:rFonts w:cs="Arial"/>
                <w:szCs w:val="20"/>
                <w:lang w:val="de-AT" w:eastAsia="de-AT"/>
              </w:rPr>
            </w:pPr>
            <w:r w:rsidRPr="00AE31FC">
              <w:rPr>
                <w:rFonts w:cs="Arial"/>
                <w:color w:val="000000"/>
                <w:kern w:val="24"/>
                <w:szCs w:val="20"/>
                <w:lang w:val="de-AT" w:eastAsia="de-AT"/>
              </w:rPr>
              <w:t>0,8</w:t>
            </w:r>
          </w:p>
        </w:tc>
        <w:tc>
          <w:tcPr>
            <w:tcW w:w="1559" w:type="dxa"/>
            <w:vAlign w:val="center"/>
            <w:hideMark/>
          </w:tcPr>
          <w:p w14:paraId="3985EBD1" w14:textId="77777777" w:rsidR="00AE31FC" w:rsidRPr="00AE31FC" w:rsidRDefault="00AE31FC" w:rsidP="00BF0DDA">
            <w:pPr>
              <w:jc w:val="center"/>
              <w:textAlignment w:val="bottom"/>
              <w:rPr>
                <w:rFonts w:cs="Arial"/>
                <w:szCs w:val="20"/>
                <w:lang w:val="de-AT" w:eastAsia="de-AT"/>
              </w:rPr>
            </w:pPr>
            <w:r w:rsidRPr="00AE31FC">
              <w:rPr>
                <w:rFonts w:cs="Arial"/>
                <w:color w:val="000000"/>
                <w:kern w:val="24"/>
                <w:szCs w:val="20"/>
                <w:lang w:val="de-AT" w:eastAsia="de-AT"/>
              </w:rPr>
              <w:t>1,7</w:t>
            </w:r>
          </w:p>
        </w:tc>
        <w:tc>
          <w:tcPr>
            <w:tcW w:w="1559" w:type="dxa"/>
            <w:vAlign w:val="center"/>
            <w:hideMark/>
          </w:tcPr>
          <w:p w14:paraId="61B48FC9" w14:textId="77777777" w:rsidR="00AE31FC" w:rsidRPr="00AE31FC" w:rsidRDefault="00AE31FC" w:rsidP="00BF0DDA">
            <w:pPr>
              <w:jc w:val="center"/>
              <w:textAlignment w:val="bottom"/>
              <w:rPr>
                <w:rFonts w:cs="Arial"/>
                <w:szCs w:val="20"/>
                <w:lang w:val="de-AT" w:eastAsia="de-AT"/>
              </w:rPr>
            </w:pPr>
            <w:r w:rsidRPr="00AE31FC">
              <w:rPr>
                <w:rFonts w:cs="Arial"/>
                <w:color w:val="000000"/>
                <w:kern w:val="24"/>
                <w:szCs w:val="20"/>
                <w:lang w:val="de-AT" w:eastAsia="de-AT"/>
              </w:rPr>
              <w:t>2,1</w:t>
            </w:r>
          </w:p>
        </w:tc>
      </w:tr>
    </w:tbl>
    <w:p w14:paraId="4A4F5750" w14:textId="0BCCA1F6" w:rsidR="00803917" w:rsidRDefault="00803917" w:rsidP="00227125"/>
    <w:p w14:paraId="3483406A" w14:textId="77777777" w:rsidR="00AE31FC" w:rsidRDefault="00AE31FC" w:rsidP="0074336E">
      <w:pPr>
        <w:spacing w:line="288" w:lineRule="auto"/>
        <w:jc w:val="center"/>
        <w:rPr>
          <w:sz w:val="22"/>
          <w:szCs w:val="22"/>
          <w:lang w:val="de-AT"/>
        </w:rPr>
      </w:pPr>
      <w:r>
        <w:rPr>
          <w:noProof/>
          <w:sz w:val="22"/>
          <w:szCs w:val="22"/>
          <w:lang w:val="de-AT"/>
        </w:rPr>
        <w:drawing>
          <wp:inline distT="0" distB="0" distL="0" distR="0" wp14:anchorId="17C8AAA4" wp14:editId="45A03947">
            <wp:extent cx="4050000" cy="2700000"/>
            <wp:effectExtent l="19050" t="19050" r="27305" b="2476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0000" cy="2700000"/>
                    </a:xfrm>
                    <a:prstGeom prst="rect">
                      <a:avLst/>
                    </a:prstGeom>
                    <a:noFill/>
                    <a:ln>
                      <a:solidFill>
                        <a:schemeClr val="tx1"/>
                      </a:solidFill>
                    </a:ln>
                  </pic:spPr>
                </pic:pic>
              </a:graphicData>
            </a:graphic>
          </wp:inline>
        </w:drawing>
      </w:r>
    </w:p>
    <w:p w14:paraId="2A4AEF3C" w14:textId="3F3BEA7C" w:rsidR="00AE31FC" w:rsidRDefault="00AE31FC" w:rsidP="00593A08">
      <w:pPr>
        <w:spacing w:after="120" w:line="288" w:lineRule="auto"/>
        <w:jc w:val="center"/>
        <w:rPr>
          <w:i/>
          <w:iCs/>
          <w:szCs w:val="20"/>
          <w:lang w:val="de-AT"/>
        </w:rPr>
      </w:pPr>
      <w:r w:rsidRPr="005F5349">
        <w:rPr>
          <w:i/>
          <w:iCs/>
          <w:szCs w:val="20"/>
          <w:lang w:val="de-AT"/>
        </w:rPr>
        <w:t xml:space="preserve">Abbildung </w:t>
      </w:r>
      <w:r>
        <w:rPr>
          <w:i/>
          <w:iCs/>
          <w:szCs w:val="20"/>
          <w:lang w:val="de-AT"/>
        </w:rPr>
        <w:t>2</w:t>
      </w:r>
      <w:r w:rsidRPr="005F5349">
        <w:rPr>
          <w:i/>
          <w:iCs/>
          <w:szCs w:val="20"/>
          <w:lang w:val="de-AT"/>
        </w:rPr>
        <w:t>: Interner Zinsfuß in Abhängigkeit vom Strompreis. Quelle: ENFOS.</w:t>
      </w:r>
    </w:p>
    <w:p w14:paraId="1007DC0F" w14:textId="76B8CD29" w:rsidR="00593A08" w:rsidRPr="00593A08" w:rsidRDefault="00593A08" w:rsidP="00700722">
      <w:pPr>
        <w:spacing w:line="288" w:lineRule="auto"/>
        <w:rPr>
          <w:sz w:val="22"/>
          <w:szCs w:val="22"/>
          <w:lang w:val="de-AT"/>
        </w:rPr>
      </w:pPr>
      <w:r>
        <w:rPr>
          <w:szCs w:val="20"/>
          <w:lang w:val="de-AT"/>
        </w:rPr>
        <w:t xml:space="preserve">Neben der Einsparung von Treibhausgasen durch eine klimaneutrale Wärme- und Kälteversorgung zeichnet sich das untersuchte System auch durch eine hohe Resilienz aus, welche sich in der betriebswirtschaftlichen Kalkulation kaum zu Buche schlägt. Ein kurzfristiger Ausfall der Anergiequelle (Tage bis Wochen) kann hierbei auch bei ungünstigen Witterungsbedingungen durch die vorhandenen Erdsondenspeicher kompensiert werden. Für längere oder dauerhafte Ausfälle </w:t>
      </w:r>
      <w:r w:rsidR="00700722">
        <w:rPr>
          <w:szCs w:val="20"/>
          <w:lang w:val="de-AT"/>
        </w:rPr>
        <w:t>wurde eine Netzschnittstelle für eine temporäre mobile Übergangseinspeisung und eine dauerhafte Nachrüstung mit einer zentralen Großwärmepumpe vorgesehen.</w:t>
      </w:r>
    </w:p>
    <w:sectPr w:rsidR="00593A08" w:rsidRPr="00593A0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E670C" w14:textId="77777777" w:rsidR="00D860B9" w:rsidRDefault="00D860B9">
      <w:r>
        <w:separator/>
      </w:r>
    </w:p>
  </w:endnote>
  <w:endnote w:type="continuationSeparator" w:id="0">
    <w:p w14:paraId="514E3751" w14:textId="77777777" w:rsidR="00D860B9" w:rsidRDefault="00D86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F6876" w14:textId="77777777" w:rsidR="00D860B9" w:rsidRDefault="00D860B9">
      <w:r>
        <w:separator/>
      </w:r>
    </w:p>
  </w:footnote>
  <w:footnote w:type="continuationSeparator" w:id="0">
    <w:p w14:paraId="4EEFA441" w14:textId="77777777" w:rsidR="00D860B9" w:rsidRDefault="00D860B9">
      <w:r>
        <w:continuationSeparator/>
      </w:r>
    </w:p>
  </w:footnote>
  <w:footnote w:id="1">
    <w:p w14:paraId="2CFBFE38" w14:textId="4112C874" w:rsidR="00D53E86" w:rsidRPr="00FB69AE" w:rsidRDefault="00D53E86" w:rsidP="002014D3">
      <w:r w:rsidRPr="00A115D2">
        <w:rPr>
          <w:rStyle w:val="Funotenzeichen"/>
        </w:rPr>
        <w:footnoteRef/>
      </w:r>
      <w:r w:rsidRPr="00D53E86">
        <w:t xml:space="preserve"> </w:t>
      </w:r>
      <w:r w:rsidR="00BD1955">
        <w:t xml:space="preserve">T: 0680-5076744   </w:t>
      </w:r>
      <w:r w:rsidR="00FD5D56">
        <w:t>E</w:t>
      </w:r>
      <w:r w:rsidR="00BD1955">
        <w:t>: peter.biermayr@enfos.at</w:t>
      </w:r>
      <w:r>
        <w:t xml:space="preserve"> </w:t>
      </w:r>
      <w:r w:rsidR="00BD1955">
        <w:t xml:space="preserve">  </w:t>
      </w:r>
      <w:r>
        <w:t>W</w:t>
      </w:r>
      <w:r w:rsidR="00BD1955">
        <w:t>: www.enfos.at</w:t>
      </w:r>
    </w:p>
  </w:footnote>
  <w:footnote w:id="2">
    <w:p w14:paraId="43A60221" w14:textId="77777777" w:rsidR="00BD1955" w:rsidRDefault="00BD1955" w:rsidP="00BD1955">
      <w:pPr>
        <w:pStyle w:val="Funotentext"/>
      </w:pPr>
      <w:r>
        <w:rPr>
          <w:rStyle w:val="Funotenzeichen"/>
        </w:rPr>
        <w:footnoteRef/>
      </w:r>
      <w:r>
        <w:t xml:space="preserve"> </w:t>
      </w:r>
      <w:r w:rsidRPr="00212010">
        <w:t>Forschungsprojekt im Programm “Vorzeigeregion Energie“, gefördert durch den Klima- und Energiefonds, Projektnummer 868655</w:t>
      </w:r>
      <w:r>
        <w:t>, Projektlaufzeit 9/2018 bis 6/2021</w:t>
      </w:r>
      <w:r w:rsidRPr="0021201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5071F"/>
    <w:multiLevelType w:val="multilevel"/>
    <w:tmpl w:val="0978BA90"/>
    <w:numStyleLink w:val="Aufzhlung"/>
  </w:abstractNum>
  <w:abstractNum w:abstractNumId="1" w15:restartNumberingAfterBreak="0">
    <w:nsid w:val="17567494"/>
    <w:multiLevelType w:val="hybridMultilevel"/>
    <w:tmpl w:val="0978BA90"/>
    <w:lvl w:ilvl="0" w:tplc="085E6674">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621AFF"/>
    <w:multiLevelType w:val="multilevel"/>
    <w:tmpl w:val="47C81F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D75967"/>
    <w:multiLevelType w:val="multilevel"/>
    <w:tmpl w:val="0978BA90"/>
    <w:numStyleLink w:val="Aufzhlung"/>
  </w:abstractNum>
  <w:abstractNum w:abstractNumId="4" w15:restartNumberingAfterBreak="0">
    <w:nsid w:val="6B5E4F19"/>
    <w:multiLevelType w:val="multilevel"/>
    <w:tmpl w:val="0978BA90"/>
    <w:styleLink w:val="Aufzhlung"/>
    <w:lvl w:ilvl="0">
      <w:start w:val="1"/>
      <w:numFmt w:val="bullet"/>
      <w:lvlText w:val="-"/>
      <w:lvlJc w:val="left"/>
      <w:pPr>
        <w:tabs>
          <w:tab w:val="num" w:pos="720"/>
        </w:tabs>
        <w:ind w:left="720" w:hanging="360"/>
      </w:pPr>
      <w:rPr>
        <w:rFonts w:ascii="Arial" w:hAnsi="Arial" w:cs="Arial"/>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K0MDM1NjEzMDQ2NDFX0lEKTi0uzszPAykwrAUAX6v8WSwAAAA="/>
  </w:docVars>
  <w:rsids>
    <w:rsidRoot w:val="005E4D4F"/>
    <w:rsid w:val="00010E92"/>
    <w:rsid w:val="002014D3"/>
    <w:rsid w:val="00227125"/>
    <w:rsid w:val="00262FD5"/>
    <w:rsid w:val="002946B8"/>
    <w:rsid w:val="00350F98"/>
    <w:rsid w:val="00372E07"/>
    <w:rsid w:val="003B676F"/>
    <w:rsid w:val="003C28FE"/>
    <w:rsid w:val="00404E6B"/>
    <w:rsid w:val="00483B87"/>
    <w:rsid w:val="004B5834"/>
    <w:rsid w:val="005376B7"/>
    <w:rsid w:val="00593A08"/>
    <w:rsid w:val="005B1ADB"/>
    <w:rsid w:val="005E4D4F"/>
    <w:rsid w:val="00662525"/>
    <w:rsid w:val="00700722"/>
    <w:rsid w:val="007378C8"/>
    <w:rsid w:val="00741EC0"/>
    <w:rsid w:val="0074336E"/>
    <w:rsid w:val="00803917"/>
    <w:rsid w:val="00A07737"/>
    <w:rsid w:val="00A156E4"/>
    <w:rsid w:val="00A6148D"/>
    <w:rsid w:val="00AE31FC"/>
    <w:rsid w:val="00BD1955"/>
    <w:rsid w:val="00BF05FA"/>
    <w:rsid w:val="00CE1A70"/>
    <w:rsid w:val="00D53E86"/>
    <w:rsid w:val="00D736F8"/>
    <w:rsid w:val="00D860B9"/>
    <w:rsid w:val="00E520E6"/>
    <w:rsid w:val="00FB69AE"/>
    <w:rsid w:val="00FD5D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AB2BC"/>
  <w15:chartTrackingRefBased/>
  <w15:docId w15:val="{59B9B081-1316-4B2C-9D1D-FBDAB8096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7125"/>
    <w:pPr>
      <w:jc w:val="both"/>
    </w:pPr>
    <w:rPr>
      <w:rFonts w:ascii="Arial" w:hAnsi="Arial"/>
      <w:szCs w:val="24"/>
      <w:lang w:eastAsia="ko-K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aliases w:val="Footnote Reference Number,-E Fußnotenzeichen,(Diplomarbeit FZ),(Diplomarbeit FZ)1,(Diplomarbeit FZ)2,(Diplomarbeit FZ)3,(Diplomarbeit FZ)4,(Diplomarbeit FZ)5,(Diplomarbeit FZ)6,(Diplomarbeit FZ)7,(Diplomarbeit FZ)8,(Diplomarbeit FZ)9"/>
    <w:semiHidden/>
    <w:rsid w:val="005E4D4F"/>
    <w:rPr>
      <w:vertAlign w:val="superscript"/>
    </w:rPr>
  </w:style>
  <w:style w:type="paragraph" w:styleId="Titel">
    <w:name w:val="Title"/>
    <w:basedOn w:val="Standard"/>
    <w:link w:val="TitelZchn"/>
    <w:qFormat/>
    <w:rsid w:val="005E4D4F"/>
    <w:pPr>
      <w:pageBreakBefore/>
      <w:spacing w:before="120" w:after="120"/>
      <w:jc w:val="center"/>
    </w:pPr>
    <w:rPr>
      <w:b/>
      <w:snapToGrid w:val="0"/>
      <w:kern w:val="28"/>
      <w:sz w:val="32"/>
      <w:szCs w:val="20"/>
      <w:lang w:eastAsia="en-US"/>
    </w:rPr>
  </w:style>
  <w:style w:type="numbering" w:customStyle="1" w:styleId="Aufzhlung">
    <w:name w:val="Aufzählung"/>
    <w:basedOn w:val="KeineListe"/>
    <w:rsid w:val="00227125"/>
    <w:pPr>
      <w:numPr>
        <w:numId w:val="2"/>
      </w:numPr>
    </w:pPr>
  </w:style>
  <w:style w:type="paragraph" w:customStyle="1" w:styleId="Abbildungsbeschriftung">
    <w:name w:val="Abbildungsbeschriftung"/>
    <w:basedOn w:val="Standard"/>
    <w:rsid w:val="002946B8"/>
    <w:rPr>
      <w:i/>
      <w:iCs/>
    </w:rPr>
  </w:style>
  <w:style w:type="character" w:customStyle="1" w:styleId="TitelZchn">
    <w:name w:val="Titel Zchn"/>
    <w:link w:val="Titel"/>
    <w:rsid w:val="005E4D4F"/>
    <w:rPr>
      <w:rFonts w:ascii="Arial" w:hAnsi="Arial"/>
      <w:b/>
      <w:snapToGrid w:val="0"/>
      <w:kern w:val="28"/>
      <w:sz w:val="32"/>
      <w:lang w:val="de-DE" w:eastAsia="en-US" w:bidi="ar-SA"/>
    </w:rPr>
  </w:style>
  <w:style w:type="paragraph" w:customStyle="1" w:styleId="Ueberschrift">
    <w:name w:val="Ueberschrift"/>
    <w:basedOn w:val="Standard"/>
    <w:link w:val="UeberschriftChar"/>
    <w:rsid w:val="00A07737"/>
    <w:pPr>
      <w:spacing w:before="120" w:after="120"/>
    </w:pPr>
    <w:rPr>
      <w:b/>
      <w:spacing w:val="-5"/>
      <w:sz w:val="22"/>
      <w:lang w:eastAsia="de-DE"/>
    </w:rPr>
  </w:style>
  <w:style w:type="character" w:customStyle="1" w:styleId="UeberschriftChar">
    <w:name w:val="Ueberschrift Char"/>
    <w:link w:val="Ueberschrift"/>
    <w:rsid w:val="00A07737"/>
    <w:rPr>
      <w:rFonts w:ascii="Arial" w:hAnsi="Arial"/>
      <w:b/>
      <w:spacing w:val="-5"/>
      <w:sz w:val="22"/>
      <w:szCs w:val="24"/>
      <w:lang w:val="de-DE" w:eastAsia="de-DE" w:bidi="ar-SA"/>
    </w:rPr>
  </w:style>
  <w:style w:type="paragraph" w:customStyle="1" w:styleId="Abstract-Titel">
    <w:name w:val="Abstract-Titel"/>
    <w:basedOn w:val="Titel"/>
    <w:rsid w:val="005E4D4F"/>
    <w:rPr>
      <w:rFonts w:cs="Arial"/>
    </w:rPr>
  </w:style>
  <w:style w:type="paragraph" w:customStyle="1" w:styleId="AutorenOrganisation">
    <w:name w:val="Autoren &amp; Organisation"/>
    <w:basedOn w:val="Standard"/>
    <w:rsid w:val="00010E92"/>
    <w:pPr>
      <w:tabs>
        <w:tab w:val="left" w:pos="1560"/>
      </w:tabs>
      <w:overflowPunct w:val="0"/>
      <w:autoSpaceDE w:val="0"/>
      <w:autoSpaceDN w:val="0"/>
      <w:adjustRightInd w:val="0"/>
      <w:jc w:val="center"/>
      <w:textAlignment w:val="baseline"/>
    </w:pPr>
    <w:rPr>
      <w:rFonts w:cs="Arial"/>
      <w:color w:val="181512"/>
      <w:spacing w:val="-5"/>
      <w:sz w:val="24"/>
      <w:lang w:val="de-AT" w:eastAsia="de-DE"/>
    </w:rPr>
  </w:style>
  <w:style w:type="paragraph" w:customStyle="1" w:styleId="Literatur">
    <w:name w:val="Literatur"/>
    <w:basedOn w:val="Standard"/>
    <w:rsid w:val="005E4D4F"/>
    <w:pPr>
      <w:ind w:left="284" w:hanging="284"/>
    </w:pPr>
    <w:rPr>
      <w:rFonts w:cs="Arial"/>
      <w:szCs w:val="20"/>
      <w:lang w:eastAsia="de-DE"/>
    </w:rPr>
  </w:style>
  <w:style w:type="paragraph" w:styleId="Funotentext">
    <w:name w:val="footnote text"/>
    <w:basedOn w:val="Standard"/>
    <w:link w:val="FunotentextZchn"/>
    <w:semiHidden/>
    <w:qFormat/>
    <w:rsid w:val="00BD1955"/>
    <w:pPr>
      <w:tabs>
        <w:tab w:val="left" w:pos="284"/>
      </w:tabs>
    </w:pPr>
    <w:rPr>
      <w:szCs w:val="20"/>
      <w:lang w:eastAsia="de-DE"/>
    </w:rPr>
  </w:style>
  <w:style w:type="character" w:customStyle="1" w:styleId="FunotentextZchn">
    <w:name w:val="Fußnotentext Zchn"/>
    <w:basedOn w:val="Absatz-Standardschriftart"/>
    <w:link w:val="Funotentext"/>
    <w:semiHidden/>
    <w:rsid w:val="00BD1955"/>
    <w:rPr>
      <w:rFonts w:ascii="Arial" w:hAnsi="Arial"/>
    </w:rPr>
  </w:style>
  <w:style w:type="paragraph" w:styleId="Beschriftung">
    <w:name w:val="caption"/>
    <w:basedOn w:val="Standard"/>
    <w:next w:val="Standard"/>
    <w:uiPriority w:val="35"/>
    <w:unhideWhenUsed/>
    <w:qFormat/>
    <w:rsid w:val="00404E6B"/>
    <w:pPr>
      <w:spacing w:after="200"/>
      <w:jc w:val="left"/>
    </w:pPr>
    <w:rPr>
      <w:i/>
      <w:iCs/>
      <w:sz w:val="18"/>
      <w:szCs w:val="18"/>
      <w:lang w:eastAsia="de-DE"/>
    </w:rPr>
  </w:style>
  <w:style w:type="table" w:styleId="Tabellenraster">
    <w:name w:val="Table Grid"/>
    <w:basedOn w:val="NormaleTabelle"/>
    <w:uiPriority w:val="59"/>
    <w:rsid w:val="00AE3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601</Words>
  <Characters>3788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Titel</vt:lpstr>
    </vt:vector>
  </TitlesOfParts>
  <Company>TU-Wien Campuslizenz</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Gerald</dc:creator>
  <cp:keywords/>
  <cp:lastModifiedBy>Peter</cp:lastModifiedBy>
  <cp:revision>4</cp:revision>
  <dcterms:created xsi:type="dcterms:W3CDTF">2021-06-29T16:13:00Z</dcterms:created>
  <dcterms:modified xsi:type="dcterms:W3CDTF">2021-06-29T18:04:00Z</dcterms:modified>
</cp:coreProperties>
</file>